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3752DB" w14:textId="727B91B3" w:rsidR="00254C90" w:rsidRPr="00750230" w:rsidRDefault="00BD6C24" w:rsidP="00750230">
      <w:pPr>
        <w:pStyle w:val="TechnicalBlock"/>
        <w:ind w:left="-1134" w:right="-1134"/>
      </w:pPr>
      <w:bookmarkStart w:id="0" w:name="DW_BM_COVERPAGE"/>
      <w:r>
        <w:rPr>
          <w:noProof/>
        </w:rPr>
        <w:drawing>
          <wp:inline distT="0" distB="0" distL="0" distR="0" wp14:anchorId="2770F2A2" wp14:editId="2231FB1F">
            <wp:extent cx="7219950" cy="5248275"/>
            <wp:effectExtent l="0" t="0" r="0" b="9525"/>
            <wp:docPr id="1" name="Pilt 2" descr="Document Cover Page.&#10;Document Number: 8506/24.&#10;Subject Codes: EDUC 111 SOC 250 RECH 152 JEUN 73 DIGIT 100 ENV 386.&#10;Heading: COVER NOTE.&#10;Originator: Secretary-General of the European Commission, signed by Ms Martine DEPREZ, Director.&#10;Recipient: Ms Thérèse BLANCHET, Secretary-General of the Council of the European Union.&#10;Subject: Proposal for a COUNCIL RECOMMENDATION on attractive and sustainable careers in higher education.&#10;Commission Document Number: COM(2024) 145 final.&#10;Preceeding Document Number: Not Set.&#10;Location: Brussels.&#10;Date: 3 April 2024.&#10;Interinstitutional Files: 2024/0078(NLE).&#10;Institutional Framework: Council of the European Union.&#10;Language: EN.&#10;Distribution Code: PUBLIC.&#10;GUID: 4733429487238374244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8506/24.&#10;Subject Codes: EDUC 111 SOC 250 RECH 152 JEUN 73 DIGIT 100 ENV 386.&#10;Heading: COVER NOTE.&#10;Originator: Secretary-General of the European Commission, signed by Ms Martine DEPREZ, Director.&#10;Recipient: Ms Thérèse BLANCHET, Secretary-General of the Council of the European Union.&#10;Subject: Proposal for a COUNCIL RECOMMENDATION on attractive and sustainable careers in higher education.&#10;Commission Document Number: COM(2024) 145 final.&#10;Preceeding Document Number: Not Set.&#10;Location: Brussels.&#10;Date: 3 April 2024.&#10;Interinstitutional Files: 2024/0078(NLE).&#10;Institutional Framework: Council of the European Union.&#10;Language: EN.&#10;Distribution Code: PUBLIC.&#10;GUID: 4733429487238374244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248275"/>
                    </a:xfrm>
                    <a:prstGeom prst="rect">
                      <a:avLst/>
                    </a:prstGeom>
                    <a:noFill/>
                    <a:ln>
                      <a:noFill/>
                    </a:ln>
                  </pic:spPr>
                </pic:pic>
              </a:graphicData>
            </a:graphic>
          </wp:inline>
        </w:drawing>
      </w:r>
      <w:bookmarkEnd w:id="0"/>
    </w:p>
    <w:p w14:paraId="62A45142" w14:textId="63DEAF14" w:rsidR="00254C90" w:rsidRDefault="00254C90" w:rsidP="00750230">
      <w:pPr>
        <w:pStyle w:val="EntText"/>
        <w:spacing w:before="480"/>
      </w:pPr>
      <w:bookmarkStart w:id="1" w:name="DW_DQC_SELECTION"/>
      <w:bookmarkEnd w:id="1"/>
      <w:r w:rsidRPr="00254C90">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750230" w:rsidRPr="00750230">
        <w:instrText>COM(2024) 145 final</w:instrText>
      </w:r>
      <w:r>
        <w:instrText xml:space="preserve">" </w:instrText>
      </w:r>
      <w:r>
        <w:fldChar w:fldCharType="separate"/>
      </w:r>
      <w:r w:rsidR="00750230" w:rsidRPr="00750230">
        <w:t>COM(2024) 145 final</w:t>
      </w:r>
      <w:r>
        <w:fldChar w:fldCharType="end"/>
      </w:r>
      <w:r w:rsidRPr="00254C90">
        <w:t>.</w:t>
      </w:r>
    </w:p>
    <w:p w14:paraId="245C97F5" w14:textId="77777777" w:rsidR="00254C90" w:rsidRDefault="00254C90" w:rsidP="00254C90">
      <w:pPr>
        <w:pStyle w:val="Lignefinal"/>
      </w:pPr>
    </w:p>
    <w:p w14:paraId="4E9796FE" w14:textId="41F57814" w:rsidR="00254C90" w:rsidRDefault="00254C90" w:rsidP="00750230">
      <w:pPr>
        <w:pStyle w:val="pj"/>
        <w:spacing w:before="120"/>
      </w:pPr>
      <w:r w:rsidRPr="00254C90">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00750230" w:rsidRPr="00750230">
        <w:instrText>COM(2024) 145 final</w:instrText>
      </w:r>
      <w:r>
        <w:instrText xml:space="preserve">" </w:instrText>
      </w:r>
      <w:r>
        <w:fldChar w:fldCharType="separate"/>
      </w:r>
      <w:r w:rsidR="00750230" w:rsidRPr="00750230">
        <w:t>COM(2024) 145 final</w:t>
      </w:r>
      <w:r>
        <w:fldChar w:fldCharType="end"/>
      </w:r>
    </w:p>
    <w:p w14:paraId="7326A53C" w14:textId="77777777" w:rsidR="00254C90" w:rsidRDefault="00254C90" w:rsidP="00254C90">
      <w:pPr>
        <w:rPr>
          <w:noProof/>
        </w:rPr>
        <w:sectPr w:rsidR="00254C90" w:rsidSect="00750230">
          <w:headerReference w:type="default" r:id="rId9"/>
          <w:footerReference w:type="default" r:id="rId10"/>
          <w:headerReference w:type="first" r:id="rId11"/>
          <w:footerReference w:type="first" r:id="rId12"/>
          <w:pgSz w:w="11907" w:h="16839"/>
          <w:pgMar w:top="624" w:right="1134" w:bottom="1134" w:left="1134" w:header="567" w:footer="567" w:gutter="0"/>
          <w:pgNumType w:start="0"/>
          <w:cols w:space="720"/>
          <w:titlePg/>
          <w:docGrid w:linePitch="360"/>
        </w:sectPr>
      </w:pPr>
    </w:p>
    <w:p w14:paraId="486C1927" w14:textId="38EFCA06" w:rsidR="00687B11" w:rsidRPr="00814C1E" w:rsidRDefault="00BD6C24" w:rsidP="00B14983">
      <w:pPr>
        <w:pStyle w:val="Pagedecouverture"/>
        <w:rPr>
          <w:noProof/>
        </w:rPr>
      </w:pPr>
      <w:r>
        <w:rPr>
          <w:noProof/>
        </w:rPr>
        <w:lastRenderedPageBreak/>
        <w:drawing>
          <wp:inline distT="0" distB="0" distL="0" distR="0" wp14:anchorId="6199E3C0" wp14:editId="2FA06FDA">
            <wp:extent cx="5781675" cy="4505325"/>
            <wp:effectExtent l="0" t="0" r="0" b="9525"/>
            <wp:docPr id="2" name="Pilt 1" descr="2B746AFF-91FC-42DF-99B9-08C80F6C5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B746AFF-91FC-42DF-99B9-08C80F6C5F5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81675" cy="4505325"/>
                    </a:xfrm>
                    <a:prstGeom prst="rect">
                      <a:avLst/>
                    </a:prstGeom>
                    <a:noFill/>
                    <a:ln>
                      <a:noFill/>
                    </a:ln>
                  </pic:spPr>
                </pic:pic>
              </a:graphicData>
            </a:graphic>
          </wp:inline>
        </w:drawing>
      </w:r>
    </w:p>
    <w:p w14:paraId="760DC641" w14:textId="77777777" w:rsidR="00687B11" w:rsidRPr="00814C1E" w:rsidRDefault="00687B11" w:rsidP="00687B11">
      <w:pPr>
        <w:rPr>
          <w:noProof/>
        </w:rPr>
        <w:sectPr w:rsidR="00687B11" w:rsidRPr="00814C1E" w:rsidSect="00B14983">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14:paraId="097BAAB2" w14:textId="77777777" w:rsidR="00687B11" w:rsidRPr="00814C1E" w:rsidRDefault="258E7F25">
      <w:pPr>
        <w:pStyle w:val="Exposdesmotifstitre"/>
        <w:rPr>
          <w:noProof/>
        </w:rPr>
      </w:pPr>
      <w:r w:rsidRPr="00814C1E">
        <w:rPr>
          <w:noProof/>
        </w:rPr>
        <w:lastRenderedPageBreak/>
        <w:t>EXPLANATORY MEMORANDUM</w:t>
      </w:r>
    </w:p>
    <w:p w14:paraId="68502489" w14:textId="77777777" w:rsidR="00687B11" w:rsidRPr="00814C1E" w:rsidRDefault="00687B11" w:rsidP="00B918A1">
      <w:pPr>
        <w:pStyle w:val="ManualHeading1"/>
        <w:tabs>
          <w:tab w:val="clear" w:pos="850"/>
          <w:tab w:val="num" w:pos="590"/>
        </w:tabs>
        <w:rPr>
          <w:noProof/>
        </w:rPr>
      </w:pPr>
      <w:r>
        <w:rPr>
          <w:noProof/>
        </w:rPr>
        <w:t>1.</w:t>
      </w:r>
      <w:r>
        <w:rPr>
          <w:noProof/>
        </w:rPr>
        <w:tab/>
      </w:r>
      <w:r w:rsidRPr="00814C1E">
        <w:rPr>
          <w:noProof/>
        </w:rPr>
        <w:t>CONTEXT OF THE PROPOSAL</w:t>
      </w:r>
    </w:p>
    <w:p w14:paraId="65968C9C" w14:textId="77777777" w:rsidR="00687B11" w:rsidRPr="0026421A" w:rsidRDefault="00687B11" w:rsidP="00B918A1">
      <w:pPr>
        <w:pStyle w:val="ManualHeading2"/>
        <w:tabs>
          <w:tab w:val="clear" w:pos="850"/>
          <w:tab w:val="num" w:pos="720"/>
        </w:tabs>
        <w:rPr>
          <w:noProof/>
        </w:rPr>
      </w:pPr>
      <w:r>
        <w:rPr>
          <w:noProof/>
        </w:rPr>
        <w:t>1.1.</w:t>
      </w:r>
      <w:r>
        <w:rPr>
          <w:noProof/>
        </w:rPr>
        <w:tab/>
      </w:r>
      <w:bookmarkStart w:id="3" w:name="_Hlk144117928"/>
      <w:r w:rsidRPr="0026421A">
        <w:rPr>
          <w:noProof/>
        </w:rPr>
        <w:t>Reasons for and objectives of the proposal</w:t>
      </w:r>
      <w:bookmarkEnd w:id="3"/>
    </w:p>
    <w:p w14:paraId="5B9D2BA4" w14:textId="77777777" w:rsidR="00221C91" w:rsidRPr="0026421A" w:rsidRDefault="00390225" w:rsidP="007629BF">
      <w:pPr>
        <w:rPr>
          <w:noProof/>
        </w:rPr>
      </w:pPr>
      <w:bookmarkStart w:id="4" w:name="_Hlk140064251"/>
      <w:r w:rsidRPr="0026421A">
        <w:rPr>
          <w:noProof/>
        </w:rPr>
        <w:t xml:space="preserve">In the knowledge economy, Europe’s future will be shaped </w:t>
      </w:r>
      <w:r w:rsidR="00ED75C1" w:rsidRPr="0026421A">
        <w:rPr>
          <w:noProof/>
        </w:rPr>
        <w:t>by the</w:t>
      </w:r>
      <w:r w:rsidRPr="0026421A">
        <w:rPr>
          <w:noProof/>
        </w:rPr>
        <w:t xml:space="preserve"> performance of its education system</w:t>
      </w:r>
      <w:r w:rsidR="00932794" w:rsidRPr="0026421A">
        <w:rPr>
          <w:noProof/>
        </w:rPr>
        <w:t>s</w:t>
      </w:r>
      <w:r w:rsidRPr="0026421A">
        <w:rPr>
          <w:noProof/>
        </w:rPr>
        <w:t xml:space="preserve"> and its ability to </w:t>
      </w:r>
      <w:r w:rsidR="00190AAA" w:rsidRPr="0026421A">
        <w:rPr>
          <w:noProof/>
        </w:rPr>
        <w:t xml:space="preserve">compete </w:t>
      </w:r>
      <w:r w:rsidRPr="0026421A">
        <w:rPr>
          <w:noProof/>
        </w:rPr>
        <w:t xml:space="preserve">in the global race for talent. </w:t>
      </w:r>
      <w:r w:rsidR="00932794" w:rsidRPr="0026421A">
        <w:rPr>
          <w:noProof/>
        </w:rPr>
        <w:t>For</w:t>
      </w:r>
      <w:r w:rsidR="00221C91" w:rsidRPr="0026421A">
        <w:rPr>
          <w:noProof/>
        </w:rPr>
        <w:t xml:space="preserve"> many </w:t>
      </w:r>
      <w:r w:rsidRPr="0026421A">
        <w:rPr>
          <w:noProof/>
        </w:rPr>
        <w:t>of the challenges Europe is facing</w:t>
      </w:r>
      <w:r w:rsidR="00F158E7" w:rsidRPr="0026421A">
        <w:rPr>
          <w:noProof/>
        </w:rPr>
        <w:t>,</w:t>
      </w:r>
      <w:r w:rsidRPr="0026421A">
        <w:rPr>
          <w:noProof/>
        </w:rPr>
        <w:t xml:space="preserve"> education is bound to be part of the solution. </w:t>
      </w:r>
    </w:p>
    <w:p w14:paraId="37A00CCB" w14:textId="36E3A8C0" w:rsidR="0089705D" w:rsidRPr="0026421A" w:rsidRDefault="00221C91" w:rsidP="007629BF">
      <w:pPr>
        <w:rPr>
          <w:noProof/>
        </w:rPr>
      </w:pPr>
      <w:r w:rsidRPr="0026421A">
        <w:rPr>
          <w:noProof/>
        </w:rPr>
        <w:t xml:space="preserve">Europe’s higher education sector </w:t>
      </w:r>
      <w:r w:rsidR="00ED75C1" w:rsidRPr="0026421A">
        <w:rPr>
          <w:noProof/>
        </w:rPr>
        <w:t>play</w:t>
      </w:r>
      <w:r w:rsidR="00932794" w:rsidRPr="0026421A">
        <w:rPr>
          <w:noProof/>
        </w:rPr>
        <w:t>s</w:t>
      </w:r>
      <w:r w:rsidRPr="0026421A">
        <w:rPr>
          <w:noProof/>
        </w:rPr>
        <w:t xml:space="preserve"> </w:t>
      </w:r>
      <w:r w:rsidR="0004694E" w:rsidRPr="0026421A">
        <w:rPr>
          <w:noProof/>
        </w:rPr>
        <w:t>a</w:t>
      </w:r>
      <w:r w:rsidRPr="0026421A">
        <w:rPr>
          <w:noProof/>
        </w:rPr>
        <w:t xml:space="preserve"> key role in </w:t>
      </w:r>
      <w:r w:rsidR="00301DDD" w:rsidRPr="0026421A">
        <w:rPr>
          <w:noProof/>
        </w:rPr>
        <w:t>equipping</w:t>
      </w:r>
      <w:r w:rsidRPr="0026421A">
        <w:rPr>
          <w:noProof/>
        </w:rPr>
        <w:t xml:space="preserve"> </w:t>
      </w:r>
      <w:r w:rsidR="00F158E7" w:rsidRPr="0026421A">
        <w:rPr>
          <w:noProof/>
        </w:rPr>
        <w:t xml:space="preserve">its </w:t>
      </w:r>
      <w:r w:rsidRPr="0026421A">
        <w:rPr>
          <w:noProof/>
        </w:rPr>
        <w:t xml:space="preserve">workforce with </w:t>
      </w:r>
      <w:r w:rsidR="00B15B3E" w:rsidRPr="0026421A">
        <w:rPr>
          <w:noProof/>
        </w:rPr>
        <w:t xml:space="preserve">the </w:t>
      </w:r>
      <w:r w:rsidRPr="0026421A">
        <w:rPr>
          <w:noProof/>
        </w:rPr>
        <w:t xml:space="preserve">high-level skills needed on the labour </w:t>
      </w:r>
      <w:r w:rsidR="0012560A" w:rsidRPr="0026421A">
        <w:rPr>
          <w:noProof/>
        </w:rPr>
        <w:t>market and</w:t>
      </w:r>
      <w:r w:rsidRPr="0026421A">
        <w:rPr>
          <w:noProof/>
        </w:rPr>
        <w:t xml:space="preserve"> lay</w:t>
      </w:r>
      <w:r w:rsidR="00932794" w:rsidRPr="0026421A">
        <w:rPr>
          <w:noProof/>
        </w:rPr>
        <w:t>s</w:t>
      </w:r>
      <w:r w:rsidRPr="0026421A">
        <w:rPr>
          <w:noProof/>
        </w:rPr>
        <w:t xml:space="preserve"> the foundation for Europe’s innovation capacity and competitiveness</w:t>
      </w:r>
      <w:r>
        <w:rPr>
          <w:noProof/>
        </w:rPr>
        <w:t>, notably in the context of a shrinking workforce.</w:t>
      </w:r>
      <w:r w:rsidRPr="0026421A">
        <w:rPr>
          <w:noProof/>
        </w:rPr>
        <w:t xml:space="preserve"> </w:t>
      </w:r>
      <w:r w:rsidR="00835C1D" w:rsidRPr="0026421A">
        <w:rPr>
          <w:noProof/>
        </w:rPr>
        <w:t>It is also instrumental</w:t>
      </w:r>
      <w:r w:rsidR="00C06668" w:rsidRPr="0026421A">
        <w:rPr>
          <w:noProof/>
        </w:rPr>
        <w:t xml:space="preserve"> </w:t>
      </w:r>
      <w:r w:rsidR="00074870">
        <w:rPr>
          <w:noProof/>
        </w:rPr>
        <w:t>for</w:t>
      </w:r>
      <w:r w:rsidR="00C06668" w:rsidRPr="0026421A">
        <w:rPr>
          <w:noProof/>
        </w:rPr>
        <w:t xml:space="preserve"> the capacity of EU citizens to learn and think independently, which is crucial for a function</w:t>
      </w:r>
      <w:r w:rsidR="007E1EEE" w:rsidRPr="0026421A">
        <w:rPr>
          <w:noProof/>
        </w:rPr>
        <w:t>ing</w:t>
      </w:r>
      <w:r w:rsidR="00C06668" w:rsidRPr="0026421A">
        <w:rPr>
          <w:noProof/>
        </w:rPr>
        <w:t xml:space="preserve"> democracy.</w:t>
      </w:r>
    </w:p>
    <w:p w14:paraId="121795E6" w14:textId="77777777" w:rsidR="001561F3" w:rsidRPr="0026421A" w:rsidRDefault="00335427" w:rsidP="005F5E08">
      <w:pPr>
        <w:rPr>
          <w:noProof/>
          <w:lang w:val="en-IE"/>
        </w:rPr>
      </w:pPr>
      <w:r w:rsidRPr="0026421A">
        <w:rPr>
          <w:noProof/>
          <w:lang w:val="en-IE"/>
        </w:rPr>
        <w:t>The h</w:t>
      </w:r>
      <w:r w:rsidR="00FF3A34" w:rsidRPr="0026421A">
        <w:rPr>
          <w:noProof/>
          <w:lang w:val="en-IE"/>
        </w:rPr>
        <w:t xml:space="preserve">igher education </w:t>
      </w:r>
      <w:r w:rsidRPr="0026421A">
        <w:rPr>
          <w:noProof/>
          <w:lang w:val="en-IE"/>
        </w:rPr>
        <w:t xml:space="preserve">sector </w:t>
      </w:r>
      <w:r w:rsidR="00B15B3E" w:rsidRPr="0026421A">
        <w:rPr>
          <w:noProof/>
        </w:rPr>
        <w:t xml:space="preserve">must </w:t>
      </w:r>
      <w:r w:rsidRPr="0026421A">
        <w:rPr>
          <w:noProof/>
        </w:rPr>
        <w:t>attract talented staff</w:t>
      </w:r>
      <w:r w:rsidR="00AC4641" w:rsidRPr="0026421A">
        <w:rPr>
          <w:noProof/>
        </w:rPr>
        <w:t xml:space="preserve"> - and </w:t>
      </w:r>
      <w:r w:rsidR="00920677" w:rsidRPr="0026421A">
        <w:rPr>
          <w:noProof/>
          <w:lang w:val="en-IE"/>
        </w:rPr>
        <w:t>retain</w:t>
      </w:r>
      <w:r w:rsidR="00EF573C" w:rsidRPr="0026421A">
        <w:rPr>
          <w:noProof/>
          <w:lang w:val="en-IE"/>
        </w:rPr>
        <w:t xml:space="preserve"> it</w:t>
      </w:r>
      <w:r w:rsidR="00920677" w:rsidRPr="0026421A">
        <w:rPr>
          <w:noProof/>
          <w:lang w:val="en-IE"/>
        </w:rPr>
        <w:t xml:space="preserve">. </w:t>
      </w:r>
      <w:r w:rsidR="00693492" w:rsidRPr="0026421A">
        <w:rPr>
          <w:noProof/>
        </w:rPr>
        <w:t>That staff should be able to</w:t>
      </w:r>
      <w:r w:rsidR="00AC4641" w:rsidRPr="0026421A">
        <w:rPr>
          <w:noProof/>
          <w:lang w:val="en-IE"/>
        </w:rPr>
        <w:t xml:space="preserve"> thrive, regardless of background, and enjoy academic freedom, in line with democratic principles.</w:t>
      </w:r>
      <w:r w:rsidR="00AC4641" w:rsidRPr="0026421A">
        <w:rPr>
          <w:noProof/>
        </w:rPr>
        <w:t xml:space="preserve"> </w:t>
      </w:r>
      <w:r w:rsidR="0011060E" w:rsidRPr="0026421A">
        <w:rPr>
          <w:noProof/>
        </w:rPr>
        <w:t xml:space="preserve">Academic staff today take on a wide range of tasks, beyond traditional teaching and research roles. </w:t>
      </w:r>
      <w:r w:rsidR="003E38A7" w:rsidRPr="0026421A">
        <w:rPr>
          <w:noProof/>
        </w:rPr>
        <w:t>Career</w:t>
      </w:r>
      <w:r w:rsidR="00C00610" w:rsidRPr="0026421A">
        <w:rPr>
          <w:noProof/>
          <w:lang w:val="en-IE"/>
        </w:rPr>
        <w:t xml:space="preserve"> prospects</w:t>
      </w:r>
      <w:r w:rsidR="000A7D53" w:rsidRPr="0026421A">
        <w:rPr>
          <w:noProof/>
          <w:lang w:val="en-IE"/>
        </w:rPr>
        <w:t xml:space="preserve"> </w:t>
      </w:r>
      <w:r w:rsidR="002807D5" w:rsidRPr="0026421A">
        <w:rPr>
          <w:noProof/>
          <w:lang w:val="en-IE"/>
        </w:rPr>
        <w:t xml:space="preserve">and job satisfaction </w:t>
      </w:r>
      <w:r w:rsidR="00350279" w:rsidRPr="0026421A">
        <w:rPr>
          <w:noProof/>
          <w:lang w:val="en-IE"/>
        </w:rPr>
        <w:t xml:space="preserve">are </w:t>
      </w:r>
      <w:r w:rsidR="00C44361" w:rsidRPr="0026421A">
        <w:rPr>
          <w:noProof/>
          <w:lang w:val="en-IE"/>
        </w:rPr>
        <w:t xml:space="preserve">decisive </w:t>
      </w:r>
      <w:r w:rsidR="003E38A7" w:rsidRPr="0026421A">
        <w:rPr>
          <w:noProof/>
          <w:lang w:val="en-IE"/>
        </w:rPr>
        <w:t>to</w:t>
      </w:r>
      <w:r w:rsidR="00350279" w:rsidRPr="0026421A">
        <w:rPr>
          <w:noProof/>
          <w:lang w:val="en-IE"/>
        </w:rPr>
        <w:t xml:space="preserve"> </w:t>
      </w:r>
      <w:r w:rsidR="00C44361" w:rsidRPr="0026421A">
        <w:rPr>
          <w:noProof/>
          <w:lang w:val="en-IE"/>
        </w:rPr>
        <w:t>retain academic talent</w:t>
      </w:r>
      <w:r w:rsidR="00C00610" w:rsidRPr="0026421A">
        <w:rPr>
          <w:noProof/>
          <w:lang w:val="en-IE"/>
        </w:rPr>
        <w:t>.</w:t>
      </w:r>
    </w:p>
    <w:p w14:paraId="2DDE5D57" w14:textId="77777777" w:rsidR="002807D5" w:rsidRPr="00BF6C22" w:rsidRDefault="003E38A7" w:rsidP="005F5E08">
      <w:pPr>
        <w:rPr>
          <w:noProof/>
          <w:lang w:val="en-IE"/>
        </w:rPr>
      </w:pPr>
      <w:r w:rsidRPr="00BF6C22">
        <w:rPr>
          <w:noProof/>
          <w:lang w:val="en-IE"/>
        </w:rPr>
        <w:t xml:space="preserve">This proposal focuses on two </w:t>
      </w:r>
      <w:r w:rsidR="00F64B61" w:rsidRPr="00BF6C22">
        <w:rPr>
          <w:noProof/>
          <w:lang w:val="en-IE"/>
        </w:rPr>
        <w:t>further</w:t>
      </w:r>
      <w:r w:rsidRPr="00BF6C22">
        <w:rPr>
          <w:noProof/>
          <w:lang w:val="en-IE"/>
        </w:rPr>
        <w:t xml:space="preserve"> issues </w:t>
      </w:r>
      <w:r w:rsidR="00796C1C" w:rsidRPr="00BF6C22">
        <w:rPr>
          <w:noProof/>
          <w:lang w:val="en-IE"/>
        </w:rPr>
        <w:t>that</w:t>
      </w:r>
      <w:r w:rsidR="006C4B90" w:rsidRPr="00BF6C22">
        <w:rPr>
          <w:noProof/>
          <w:lang w:val="en-IE"/>
        </w:rPr>
        <w:t xml:space="preserve"> impact the attractiveness of academic careers</w:t>
      </w:r>
      <w:r w:rsidR="0003109E" w:rsidRPr="00BF6C22">
        <w:rPr>
          <w:noProof/>
          <w:lang w:val="en-IE"/>
        </w:rPr>
        <w:t>:</w:t>
      </w:r>
    </w:p>
    <w:p w14:paraId="46AFA2B4" w14:textId="77777777" w:rsidR="00845526" w:rsidRPr="008108CB" w:rsidRDefault="000F254F" w:rsidP="00B918A1">
      <w:pPr>
        <w:pStyle w:val="Point1"/>
        <w:tabs>
          <w:tab w:val="num" w:pos="-283"/>
        </w:tabs>
        <w:ind w:left="567"/>
        <w:rPr>
          <w:noProof/>
          <w:lang w:val="en-IE"/>
        </w:rPr>
      </w:pPr>
      <w:r>
        <w:rPr>
          <w:noProof/>
        </w:rPr>
        <w:t>(1)</w:t>
      </w:r>
      <w:r>
        <w:rPr>
          <w:noProof/>
        </w:rPr>
        <w:tab/>
      </w:r>
      <w:r w:rsidRPr="008108CB">
        <w:rPr>
          <w:b/>
          <w:bCs/>
          <w:i/>
          <w:iCs/>
          <w:noProof/>
        </w:rPr>
        <w:t>P</w:t>
      </w:r>
      <w:r w:rsidR="004B4538" w:rsidRPr="008108CB">
        <w:rPr>
          <w:b/>
          <w:bCs/>
          <w:i/>
          <w:iCs/>
          <w:noProof/>
        </w:rPr>
        <w:t>ioneering</w:t>
      </w:r>
      <w:r w:rsidR="00EF573C" w:rsidRPr="008108CB">
        <w:rPr>
          <w:b/>
          <w:bCs/>
          <w:i/>
          <w:iCs/>
          <w:noProof/>
        </w:rPr>
        <w:t xml:space="preserve"> new </w:t>
      </w:r>
      <w:r w:rsidR="004B4538" w:rsidRPr="008108CB">
        <w:rPr>
          <w:b/>
          <w:bCs/>
          <w:i/>
          <w:iCs/>
          <w:noProof/>
        </w:rPr>
        <w:t xml:space="preserve">joint </w:t>
      </w:r>
      <w:r w:rsidR="00EF573C" w:rsidRPr="008108CB">
        <w:rPr>
          <w:b/>
          <w:bCs/>
          <w:i/>
          <w:iCs/>
          <w:noProof/>
        </w:rPr>
        <w:t xml:space="preserve">transnational </w:t>
      </w:r>
      <w:r w:rsidR="002942D9" w:rsidRPr="008108CB">
        <w:rPr>
          <w:b/>
          <w:bCs/>
          <w:i/>
          <w:iCs/>
          <w:noProof/>
        </w:rPr>
        <w:t>educational activities</w:t>
      </w:r>
      <w:r w:rsidR="00EF573C" w:rsidRPr="008108CB">
        <w:rPr>
          <w:b/>
          <w:bCs/>
          <w:noProof/>
          <w:lang w:val="en-IE"/>
        </w:rPr>
        <w:t xml:space="preserve"> </w:t>
      </w:r>
      <w:r w:rsidR="00254627" w:rsidRPr="008108CB">
        <w:rPr>
          <w:noProof/>
          <w:lang w:val="en-IE"/>
        </w:rPr>
        <w:t xml:space="preserve">- </w:t>
      </w:r>
      <w:r w:rsidR="0072731F" w:rsidRPr="008108CB">
        <w:rPr>
          <w:noProof/>
          <w:lang w:val="en-IE"/>
        </w:rPr>
        <w:t xml:space="preserve">like </w:t>
      </w:r>
      <w:r w:rsidR="00FF3A34" w:rsidRPr="008108CB">
        <w:rPr>
          <w:noProof/>
          <w:lang w:val="en-IE"/>
        </w:rPr>
        <w:t>a</w:t>
      </w:r>
      <w:r w:rsidR="0072731F" w:rsidRPr="008108CB">
        <w:rPr>
          <w:noProof/>
          <w:lang w:val="en-IE"/>
        </w:rPr>
        <w:t xml:space="preserve"> European degree</w:t>
      </w:r>
      <w:r w:rsidR="000F3CEA" w:rsidRPr="0026421A">
        <w:rPr>
          <w:rStyle w:val="Allmrkuseviide"/>
          <w:noProof/>
          <w:lang w:val="en-IE"/>
        </w:rPr>
        <w:footnoteReference w:id="2"/>
      </w:r>
      <w:r w:rsidR="00254627" w:rsidRPr="008108CB">
        <w:rPr>
          <w:noProof/>
          <w:lang w:val="en-IE"/>
        </w:rPr>
        <w:t xml:space="preserve"> -</w:t>
      </w:r>
      <w:r w:rsidR="0072731F" w:rsidRPr="008108CB">
        <w:rPr>
          <w:i/>
          <w:iCs/>
          <w:noProof/>
          <w:lang w:val="en-IE"/>
        </w:rPr>
        <w:t xml:space="preserve"> </w:t>
      </w:r>
      <w:r w:rsidR="00E706AB" w:rsidRPr="0026421A">
        <w:rPr>
          <w:noProof/>
        </w:rPr>
        <w:t>require</w:t>
      </w:r>
      <w:r w:rsidR="00254627" w:rsidRPr="0026421A">
        <w:rPr>
          <w:noProof/>
        </w:rPr>
        <w:t>s</w:t>
      </w:r>
      <w:r w:rsidR="00E706AB" w:rsidRPr="0026421A">
        <w:rPr>
          <w:noProof/>
        </w:rPr>
        <w:t xml:space="preserve"> </w:t>
      </w:r>
      <w:r w:rsidR="00EF573C" w:rsidRPr="0026421A">
        <w:rPr>
          <w:noProof/>
        </w:rPr>
        <w:t xml:space="preserve">dedicated staff with specific skills. </w:t>
      </w:r>
      <w:r w:rsidR="00F158E7" w:rsidRPr="0026421A">
        <w:rPr>
          <w:noProof/>
        </w:rPr>
        <w:t xml:space="preserve">However, </w:t>
      </w:r>
      <w:r w:rsidR="00F158E7" w:rsidRPr="008108CB">
        <w:rPr>
          <w:noProof/>
          <w:lang w:val="en-IE"/>
        </w:rPr>
        <w:t>e</w:t>
      </w:r>
      <w:r w:rsidR="008A02F6" w:rsidRPr="008108CB">
        <w:rPr>
          <w:noProof/>
          <w:lang w:val="en-IE"/>
        </w:rPr>
        <w:t>xperience</w:t>
      </w:r>
      <w:r w:rsidR="00F158E7" w:rsidRPr="0026421A">
        <w:rPr>
          <w:rStyle w:val="Allmrkuseviide"/>
          <w:noProof/>
          <w:lang w:val="en-IE"/>
        </w:rPr>
        <w:footnoteReference w:id="3"/>
      </w:r>
      <w:r w:rsidR="004B4538" w:rsidRPr="008108CB">
        <w:rPr>
          <w:noProof/>
          <w:lang w:val="en-IE"/>
        </w:rPr>
        <w:t xml:space="preserve"> </w:t>
      </w:r>
      <w:r w:rsidR="008A02F6" w:rsidRPr="008108CB">
        <w:rPr>
          <w:rFonts w:eastAsia="Times New Roman Bold"/>
          <w:noProof/>
          <w:szCs w:val="24"/>
        </w:rPr>
        <w:t xml:space="preserve">shows that </w:t>
      </w:r>
      <w:r w:rsidR="00243B8A" w:rsidRPr="008108CB">
        <w:rPr>
          <w:noProof/>
          <w:szCs w:val="24"/>
          <w:lang w:val="en-IE"/>
        </w:rPr>
        <w:t xml:space="preserve">engaging in transnational cooperation </w:t>
      </w:r>
      <w:r w:rsidR="0002160A" w:rsidRPr="008108CB">
        <w:rPr>
          <w:noProof/>
          <w:szCs w:val="24"/>
          <w:lang w:val="en-IE"/>
        </w:rPr>
        <w:t xml:space="preserve">can </w:t>
      </w:r>
      <w:r w:rsidR="00850289" w:rsidRPr="008108CB">
        <w:rPr>
          <w:noProof/>
          <w:szCs w:val="24"/>
          <w:lang w:val="en-IE"/>
        </w:rPr>
        <w:t>result in</w:t>
      </w:r>
      <w:r w:rsidR="00243B8A" w:rsidRPr="008108CB">
        <w:rPr>
          <w:noProof/>
          <w:lang w:val="en-IE"/>
        </w:rPr>
        <w:t xml:space="preserve"> </w:t>
      </w:r>
      <w:r w:rsidR="003B46BB" w:rsidRPr="008108CB">
        <w:rPr>
          <w:noProof/>
          <w:lang w:val="en-IE"/>
        </w:rPr>
        <w:t xml:space="preserve">additional </w:t>
      </w:r>
      <w:r w:rsidR="00243B8A" w:rsidRPr="008108CB">
        <w:rPr>
          <w:noProof/>
          <w:lang w:val="en-IE"/>
        </w:rPr>
        <w:t>work</w:t>
      </w:r>
      <w:r w:rsidR="003B46BB" w:rsidRPr="008108CB">
        <w:rPr>
          <w:noProof/>
          <w:lang w:val="en-IE"/>
        </w:rPr>
        <w:t>load</w:t>
      </w:r>
      <w:r w:rsidR="00243B8A" w:rsidRPr="008108CB">
        <w:rPr>
          <w:noProof/>
          <w:lang w:val="en-IE"/>
        </w:rPr>
        <w:t xml:space="preserve"> </w:t>
      </w:r>
      <w:r w:rsidR="00850289" w:rsidRPr="008108CB">
        <w:rPr>
          <w:noProof/>
          <w:lang w:val="en-IE"/>
        </w:rPr>
        <w:t xml:space="preserve">which </w:t>
      </w:r>
      <w:r w:rsidR="00243B8A" w:rsidRPr="008108CB">
        <w:rPr>
          <w:noProof/>
          <w:lang w:val="en-IE"/>
        </w:rPr>
        <w:t xml:space="preserve">is not always </w:t>
      </w:r>
      <w:r w:rsidR="000D6274" w:rsidRPr="008108CB">
        <w:rPr>
          <w:noProof/>
          <w:lang w:val="en-IE"/>
        </w:rPr>
        <w:t xml:space="preserve">recognised </w:t>
      </w:r>
      <w:r w:rsidR="0086579A" w:rsidRPr="008108CB">
        <w:rPr>
          <w:noProof/>
          <w:lang w:val="en-IE"/>
        </w:rPr>
        <w:t>or</w:t>
      </w:r>
      <w:r w:rsidR="003B46BB" w:rsidRPr="008108CB">
        <w:rPr>
          <w:noProof/>
          <w:lang w:val="en-IE"/>
        </w:rPr>
        <w:t xml:space="preserve"> rewarded</w:t>
      </w:r>
      <w:r w:rsidR="00243B8A" w:rsidRPr="008108CB">
        <w:rPr>
          <w:noProof/>
          <w:lang w:val="en-IE"/>
        </w:rPr>
        <w:t xml:space="preserve">. </w:t>
      </w:r>
      <w:r w:rsidR="0086579A" w:rsidRPr="008108CB">
        <w:rPr>
          <w:noProof/>
          <w:lang w:val="en-IE"/>
        </w:rPr>
        <w:t>This w</w:t>
      </w:r>
      <w:r w:rsidR="002807D5" w:rsidRPr="008108CB">
        <w:rPr>
          <w:noProof/>
          <w:lang w:val="en-IE"/>
        </w:rPr>
        <w:t xml:space="preserve">ork can be perceived as </w:t>
      </w:r>
      <w:r w:rsidR="00B21244" w:rsidRPr="008108CB">
        <w:rPr>
          <w:noProof/>
          <w:lang w:val="en-IE"/>
        </w:rPr>
        <w:t>something</w:t>
      </w:r>
      <w:r w:rsidR="002807D5" w:rsidRPr="008108CB">
        <w:rPr>
          <w:noProof/>
          <w:lang w:val="en-IE"/>
        </w:rPr>
        <w:t xml:space="preserve"> </w:t>
      </w:r>
      <w:r w:rsidR="00B21244" w:rsidRPr="008108CB">
        <w:rPr>
          <w:noProof/>
          <w:lang w:val="en-IE"/>
        </w:rPr>
        <w:t>to</w:t>
      </w:r>
      <w:r w:rsidR="002807D5" w:rsidRPr="008108CB">
        <w:rPr>
          <w:noProof/>
          <w:lang w:val="en-IE"/>
        </w:rPr>
        <w:t xml:space="preserve"> be performed </w:t>
      </w:r>
      <w:r w:rsidR="00B21244" w:rsidRPr="008108CB">
        <w:rPr>
          <w:noProof/>
          <w:lang w:val="en-IE"/>
        </w:rPr>
        <w:t>on top of</w:t>
      </w:r>
      <w:r w:rsidR="002807D5" w:rsidRPr="008108CB">
        <w:rPr>
          <w:noProof/>
          <w:lang w:val="en-IE"/>
        </w:rPr>
        <w:t xml:space="preserve"> a full-time job</w:t>
      </w:r>
      <w:r w:rsidR="00BB4B96" w:rsidRPr="008108CB">
        <w:rPr>
          <w:noProof/>
          <w:lang w:val="en-IE"/>
        </w:rPr>
        <w:t>, and this</w:t>
      </w:r>
      <w:r w:rsidR="002807D5" w:rsidRPr="008108CB">
        <w:rPr>
          <w:noProof/>
          <w:lang w:val="en-IE"/>
        </w:rPr>
        <w:t xml:space="preserve"> can </w:t>
      </w:r>
      <w:r w:rsidR="00B47A5A" w:rsidRPr="008108CB">
        <w:rPr>
          <w:noProof/>
          <w:lang w:val="en-IE"/>
        </w:rPr>
        <w:t>be</w:t>
      </w:r>
      <w:r w:rsidR="002807D5" w:rsidRPr="008108CB">
        <w:rPr>
          <w:noProof/>
          <w:lang w:val="en-IE"/>
        </w:rPr>
        <w:t xml:space="preserve"> </w:t>
      </w:r>
      <w:r w:rsidR="000F3CEA" w:rsidRPr="008108CB">
        <w:rPr>
          <w:noProof/>
          <w:lang w:val="en-IE"/>
        </w:rPr>
        <w:t>a</w:t>
      </w:r>
      <w:r w:rsidR="002807D5" w:rsidRPr="008108CB">
        <w:rPr>
          <w:noProof/>
          <w:lang w:val="en-IE"/>
        </w:rPr>
        <w:t xml:space="preserve"> </w:t>
      </w:r>
      <w:r w:rsidR="0002160A" w:rsidRPr="008108CB">
        <w:rPr>
          <w:noProof/>
          <w:lang w:val="en-IE"/>
        </w:rPr>
        <w:t>disincentive</w:t>
      </w:r>
      <w:r w:rsidR="002807D5" w:rsidRPr="008108CB">
        <w:rPr>
          <w:noProof/>
          <w:lang w:val="en-IE"/>
        </w:rPr>
        <w:t xml:space="preserve"> to </w:t>
      </w:r>
      <w:r w:rsidR="0002160A" w:rsidRPr="008108CB">
        <w:rPr>
          <w:noProof/>
          <w:lang w:val="en-IE"/>
        </w:rPr>
        <w:t>eng</w:t>
      </w:r>
      <w:r w:rsidR="00074870" w:rsidRPr="008108CB">
        <w:rPr>
          <w:noProof/>
          <w:lang w:val="en-IE"/>
        </w:rPr>
        <w:t>aging</w:t>
      </w:r>
      <w:r w:rsidR="0002160A" w:rsidRPr="008108CB">
        <w:rPr>
          <w:noProof/>
          <w:lang w:val="en-IE"/>
        </w:rPr>
        <w:t xml:space="preserve"> in </w:t>
      </w:r>
      <w:r w:rsidR="002807D5" w:rsidRPr="008108CB">
        <w:rPr>
          <w:noProof/>
          <w:lang w:val="en-IE"/>
        </w:rPr>
        <w:t>work on transnational cooperation.</w:t>
      </w:r>
    </w:p>
    <w:p w14:paraId="5B01B3E6" w14:textId="77777777" w:rsidR="002F7E7C" w:rsidRPr="008108CB" w:rsidRDefault="000F254F" w:rsidP="00B918A1">
      <w:pPr>
        <w:pStyle w:val="Point1"/>
        <w:tabs>
          <w:tab w:val="num" w:pos="567"/>
        </w:tabs>
        <w:ind w:left="567"/>
        <w:rPr>
          <w:noProof/>
          <w:lang w:val="en-IE"/>
        </w:rPr>
      </w:pPr>
      <w:r>
        <w:rPr>
          <w:noProof/>
        </w:rPr>
        <w:t>(2)</w:t>
      </w:r>
      <w:r>
        <w:rPr>
          <w:noProof/>
        </w:rPr>
        <w:tab/>
      </w:r>
      <w:r w:rsidRPr="008108CB">
        <w:rPr>
          <w:b/>
          <w:bCs/>
          <w:i/>
          <w:iCs/>
          <w:noProof/>
          <w:lang w:val="en-IE"/>
        </w:rPr>
        <w:t>E</w:t>
      </w:r>
      <w:r w:rsidR="0003109E" w:rsidRPr="008108CB">
        <w:rPr>
          <w:b/>
          <w:bCs/>
          <w:i/>
          <w:iCs/>
          <w:noProof/>
          <w:lang w:val="en-IE"/>
        </w:rPr>
        <w:t>quip</w:t>
      </w:r>
      <w:r w:rsidR="00B47A5A" w:rsidRPr="008108CB">
        <w:rPr>
          <w:b/>
          <w:bCs/>
          <w:i/>
          <w:iCs/>
          <w:noProof/>
          <w:lang w:val="en-IE"/>
        </w:rPr>
        <w:t>ping</w:t>
      </w:r>
      <w:r w:rsidR="0003109E" w:rsidRPr="008108CB">
        <w:rPr>
          <w:b/>
          <w:bCs/>
          <w:i/>
          <w:iCs/>
          <w:noProof/>
          <w:lang w:val="en-IE"/>
        </w:rPr>
        <w:t xml:space="preserve"> people with high-quality skills</w:t>
      </w:r>
      <w:r w:rsidR="00E25E56" w:rsidRPr="008108CB">
        <w:rPr>
          <w:i/>
          <w:iCs/>
          <w:noProof/>
          <w:lang w:val="en-IE"/>
        </w:rPr>
        <w:t xml:space="preserve"> </w:t>
      </w:r>
      <w:r w:rsidR="002807D5" w:rsidRPr="008108CB">
        <w:rPr>
          <w:noProof/>
          <w:lang w:val="en-IE"/>
        </w:rPr>
        <w:t xml:space="preserve">requires </w:t>
      </w:r>
      <w:r w:rsidR="001B5082" w:rsidRPr="008108CB">
        <w:rPr>
          <w:noProof/>
          <w:lang w:val="en-IE"/>
        </w:rPr>
        <w:t>well-trained</w:t>
      </w:r>
      <w:r w:rsidR="00A5115C" w:rsidRPr="008108CB">
        <w:rPr>
          <w:noProof/>
          <w:lang w:val="en-IE"/>
        </w:rPr>
        <w:t>,</w:t>
      </w:r>
      <w:r w:rsidR="002807D5" w:rsidRPr="008108CB">
        <w:rPr>
          <w:noProof/>
          <w:lang w:val="en-IE"/>
        </w:rPr>
        <w:t xml:space="preserve"> </w:t>
      </w:r>
      <w:r w:rsidR="00A5115C" w:rsidRPr="008108CB">
        <w:rPr>
          <w:noProof/>
          <w:lang w:val="en-IE"/>
        </w:rPr>
        <w:t>agile</w:t>
      </w:r>
      <w:r w:rsidR="00AC02CC" w:rsidRPr="008108CB">
        <w:rPr>
          <w:noProof/>
          <w:lang w:val="en-IE"/>
        </w:rPr>
        <w:t xml:space="preserve"> </w:t>
      </w:r>
      <w:r w:rsidR="002A3E72" w:rsidRPr="008108CB">
        <w:rPr>
          <w:noProof/>
          <w:lang w:val="en-IE"/>
        </w:rPr>
        <w:t>academic staff</w:t>
      </w:r>
      <w:r w:rsidR="002807D5" w:rsidRPr="008108CB">
        <w:rPr>
          <w:noProof/>
          <w:lang w:val="en-IE"/>
        </w:rPr>
        <w:t xml:space="preserve">. However, </w:t>
      </w:r>
      <w:r w:rsidR="00A5115C" w:rsidRPr="008108CB">
        <w:rPr>
          <w:noProof/>
          <w:lang w:val="en-IE"/>
        </w:rPr>
        <w:t xml:space="preserve">the </w:t>
      </w:r>
      <w:r w:rsidR="00E504CB" w:rsidRPr="0026421A">
        <w:rPr>
          <w:noProof/>
        </w:rPr>
        <w:t xml:space="preserve">criteria </w:t>
      </w:r>
      <w:r w:rsidR="00A72A9C" w:rsidRPr="0026421A">
        <w:rPr>
          <w:noProof/>
        </w:rPr>
        <w:t>for career appraisal</w:t>
      </w:r>
      <w:r w:rsidR="00A5115C" w:rsidRPr="0026421A">
        <w:rPr>
          <w:noProof/>
        </w:rPr>
        <w:t xml:space="preserve"> and promotion </w:t>
      </w:r>
      <w:r w:rsidR="005F01B8" w:rsidRPr="0026421A">
        <w:rPr>
          <w:noProof/>
        </w:rPr>
        <w:t xml:space="preserve">in the higher education sector </w:t>
      </w:r>
      <w:r w:rsidR="00074870">
        <w:rPr>
          <w:noProof/>
        </w:rPr>
        <w:t>are</w:t>
      </w:r>
      <w:r w:rsidR="00074870" w:rsidRPr="0026421A">
        <w:rPr>
          <w:noProof/>
        </w:rPr>
        <w:t xml:space="preserve"> </w:t>
      </w:r>
      <w:r w:rsidR="00E504CB" w:rsidRPr="0026421A">
        <w:rPr>
          <w:noProof/>
        </w:rPr>
        <w:t xml:space="preserve">more </w:t>
      </w:r>
      <w:r w:rsidR="00074870">
        <w:rPr>
          <w:noProof/>
        </w:rPr>
        <w:t xml:space="preserve">closely </w:t>
      </w:r>
      <w:r w:rsidR="00A5761E" w:rsidRPr="008108CB">
        <w:rPr>
          <w:noProof/>
          <w:lang w:val="en-IE"/>
        </w:rPr>
        <w:t>linked to</w:t>
      </w:r>
      <w:r w:rsidR="002807D5" w:rsidRPr="008108CB">
        <w:rPr>
          <w:noProof/>
          <w:lang w:val="en-IE"/>
        </w:rPr>
        <w:t xml:space="preserve"> research </w:t>
      </w:r>
      <w:r w:rsidRPr="008108CB">
        <w:rPr>
          <w:noProof/>
          <w:lang w:val="en-IE"/>
        </w:rPr>
        <w:t xml:space="preserve">activities </w:t>
      </w:r>
      <w:r w:rsidR="002807D5" w:rsidRPr="008108CB">
        <w:rPr>
          <w:noProof/>
          <w:lang w:val="en-IE"/>
        </w:rPr>
        <w:t xml:space="preserve">and less </w:t>
      </w:r>
      <w:r w:rsidR="00A5761E" w:rsidRPr="008108CB">
        <w:rPr>
          <w:noProof/>
          <w:lang w:val="en-IE"/>
        </w:rPr>
        <w:t>to</w:t>
      </w:r>
      <w:r w:rsidR="002807D5" w:rsidRPr="008108CB">
        <w:rPr>
          <w:noProof/>
          <w:lang w:val="en-IE"/>
        </w:rPr>
        <w:t xml:space="preserve"> the quality of</w:t>
      </w:r>
      <w:r w:rsidR="00E504CB" w:rsidRPr="008108CB">
        <w:rPr>
          <w:noProof/>
          <w:lang w:val="en-IE"/>
        </w:rPr>
        <w:t xml:space="preserve"> </w:t>
      </w:r>
      <w:r w:rsidR="002807D5" w:rsidRPr="008108CB">
        <w:rPr>
          <w:noProof/>
          <w:lang w:val="en-IE"/>
        </w:rPr>
        <w:t>teaching</w:t>
      </w:r>
      <w:r w:rsidR="0003109E" w:rsidRPr="008108CB">
        <w:rPr>
          <w:noProof/>
          <w:lang w:val="en-IE"/>
        </w:rPr>
        <w:t xml:space="preserve">. This </w:t>
      </w:r>
      <w:r w:rsidR="002807D5" w:rsidRPr="008108CB">
        <w:rPr>
          <w:noProof/>
          <w:lang w:val="en-IE"/>
        </w:rPr>
        <w:t xml:space="preserve">can </w:t>
      </w:r>
      <w:r w:rsidR="00CB0C0F" w:rsidRPr="008108CB">
        <w:rPr>
          <w:noProof/>
          <w:lang w:val="en-IE"/>
        </w:rPr>
        <w:t xml:space="preserve">discourage </w:t>
      </w:r>
      <w:r w:rsidR="00367A6A" w:rsidRPr="008108CB">
        <w:rPr>
          <w:noProof/>
          <w:lang w:val="en-IE"/>
        </w:rPr>
        <w:t xml:space="preserve">academic </w:t>
      </w:r>
      <w:r w:rsidR="002807D5" w:rsidRPr="008108CB">
        <w:rPr>
          <w:noProof/>
          <w:lang w:val="en-IE"/>
        </w:rPr>
        <w:t xml:space="preserve">staff </w:t>
      </w:r>
      <w:r w:rsidR="00E504CB" w:rsidRPr="008108CB">
        <w:rPr>
          <w:noProof/>
          <w:lang w:val="en-IE"/>
        </w:rPr>
        <w:t>from</w:t>
      </w:r>
      <w:r w:rsidR="002807D5" w:rsidRPr="008108CB">
        <w:rPr>
          <w:noProof/>
          <w:lang w:val="en-IE"/>
        </w:rPr>
        <w:t xml:space="preserve"> </w:t>
      </w:r>
      <w:r w:rsidR="00EA7861" w:rsidRPr="008108CB">
        <w:rPr>
          <w:noProof/>
          <w:lang w:val="en-IE"/>
        </w:rPr>
        <w:t>teaching</w:t>
      </w:r>
      <w:r w:rsidR="00CB0C0F" w:rsidRPr="008108CB">
        <w:rPr>
          <w:noProof/>
          <w:lang w:val="en-IE"/>
        </w:rPr>
        <w:t xml:space="preserve">, </w:t>
      </w:r>
      <w:r w:rsidR="00BD03E0" w:rsidRPr="008108CB">
        <w:rPr>
          <w:noProof/>
          <w:lang w:val="en-IE"/>
        </w:rPr>
        <w:t>coupled with</w:t>
      </w:r>
      <w:r w:rsidR="002807D5" w:rsidRPr="008108CB">
        <w:rPr>
          <w:noProof/>
          <w:lang w:val="en-IE"/>
        </w:rPr>
        <w:t xml:space="preserve"> </w:t>
      </w:r>
      <w:r w:rsidR="00BD03E0" w:rsidRPr="008108CB">
        <w:rPr>
          <w:noProof/>
          <w:lang w:val="en-IE"/>
        </w:rPr>
        <w:t>a</w:t>
      </w:r>
      <w:r w:rsidR="00AA5B6E" w:rsidRPr="008108CB">
        <w:rPr>
          <w:noProof/>
          <w:lang w:val="en-IE"/>
        </w:rPr>
        <w:t xml:space="preserve"> </w:t>
      </w:r>
      <w:r w:rsidR="002807D5" w:rsidRPr="008108CB">
        <w:rPr>
          <w:noProof/>
          <w:lang w:val="en-IE"/>
        </w:rPr>
        <w:t>neglect</w:t>
      </w:r>
      <w:r w:rsidR="00AA5B6E" w:rsidRPr="008108CB">
        <w:rPr>
          <w:noProof/>
          <w:lang w:val="en-IE"/>
        </w:rPr>
        <w:t xml:space="preserve"> of</w:t>
      </w:r>
      <w:r w:rsidR="006D4CE8" w:rsidRPr="008108CB">
        <w:rPr>
          <w:noProof/>
          <w:lang w:val="en-IE"/>
        </w:rPr>
        <w:t xml:space="preserve"> </w:t>
      </w:r>
      <w:r w:rsidR="002208F9" w:rsidRPr="008108CB">
        <w:rPr>
          <w:noProof/>
          <w:lang w:val="en-IE"/>
        </w:rPr>
        <w:t>continuous</w:t>
      </w:r>
      <w:r w:rsidR="002807D5" w:rsidRPr="008108CB">
        <w:rPr>
          <w:noProof/>
          <w:lang w:val="en-IE"/>
        </w:rPr>
        <w:t xml:space="preserve"> training to keep </w:t>
      </w:r>
      <w:r w:rsidR="00F95A6E" w:rsidRPr="008108CB">
        <w:rPr>
          <w:noProof/>
          <w:lang w:val="en-IE"/>
        </w:rPr>
        <w:t>them</w:t>
      </w:r>
      <w:r w:rsidR="002807D5" w:rsidRPr="008108CB">
        <w:rPr>
          <w:noProof/>
          <w:lang w:val="en-IE"/>
        </w:rPr>
        <w:t xml:space="preserve"> </w:t>
      </w:r>
      <w:r w:rsidR="0080076B" w:rsidRPr="008108CB">
        <w:rPr>
          <w:noProof/>
          <w:lang w:val="en-IE"/>
        </w:rPr>
        <w:t>update</w:t>
      </w:r>
      <w:r w:rsidR="00AE3F4D" w:rsidRPr="008108CB">
        <w:rPr>
          <w:noProof/>
          <w:lang w:val="en-IE"/>
        </w:rPr>
        <w:t>d</w:t>
      </w:r>
      <w:r w:rsidR="00B849E0" w:rsidRPr="008108CB">
        <w:rPr>
          <w:noProof/>
          <w:lang w:val="en-IE"/>
        </w:rPr>
        <w:t xml:space="preserve"> </w:t>
      </w:r>
      <w:r w:rsidR="002807D5" w:rsidRPr="008108CB">
        <w:rPr>
          <w:noProof/>
          <w:lang w:val="en-IE"/>
        </w:rPr>
        <w:t>on pedagogical methods and</w:t>
      </w:r>
      <w:r w:rsidR="00E504CB" w:rsidRPr="008108CB">
        <w:rPr>
          <w:noProof/>
          <w:lang w:val="en-IE"/>
        </w:rPr>
        <w:t xml:space="preserve"> </w:t>
      </w:r>
      <w:r w:rsidR="002807D5" w:rsidRPr="008108CB">
        <w:rPr>
          <w:noProof/>
          <w:lang w:val="en-IE"/>
        </w:rPr>
        <w:t>content.</w:t>
      </w:r>
      <w:r w:rsidR="00E504CB" w:rsidRPr="008108CB">
        <w:rPr>
          <w:noProof/>
          <w:lang w:val="en-IE"/>
        </w:rPr>
        <w:t xml:space="preserve"> </w:t>
      </w:r>
      <w:r w:rsidR="003668AF" w:rsidRPr="008108CB">
        <w:rPr>
          <w:noProof/>
          <w:lang w:val="en-IE"/>
        </w:rPr>
        <w:t>As a result, academic</w:t>
      </w:r>
      <w:r w:rsidR="00FA1442" w:rsidRPr="008108CB">
        <w:rPr>
          <w:noProof/>
          <w:lang w:val="en-IE"/>
        </w:rPr>
        <w:t xml:space="preserve"> staff</w:t>
      </w:r>
      <w:r w:rsidR="00E87F9B" w:rsidRPr="008108CB">
        <w:rPr>
          <w:noProof/>
          <w:lang w:val="en-IE"/>
        </w:rPr>
        <w:t xml:space="preserve"> </w:t>
      </w:r>
      <w:r w:rsidR="00074870" w:rsidRPr="008108CB">
        <w:rPr>
          <w:noProof/>
          <w:lang w:val="en-IE"/>
        </w:rPr>
        <w:t xml:space="preserve">may </w:t>
      </w:r>
      <w:r w:rsidR="00FA1442" w:rsidRPr="008108CB">
        <w:rPr>
          <w:noProof/>
          <w:lang w:val="en-IE"/>
        </w:rPr>
        <w:t>struggle with</w:t>
      </w:r>
      <w:r w:rsidR="00E504CB" w:rsidRPr="0026421A">
        <w:rPr>
          <w:noProof/>
        </w:rPr>
        <w:t xml:space="preserve"> </w:t>
      </w:r>
      <w:r w:rsidR="00F95A6E" w:rsidRPr="0026421A">
        <w:rPr>
          <w:noProof/>
        </w:rPr>
        <w:t>a balance between</w:t>
      </w:r>
      <w:r w:rsidR="00E504CB" w:rsidRPr="0026421A">
        <w:rPr>
          <w:noProof/>
        </w:rPr>
        <w:t xml:space="preserve"> teaching and research</w:t>
      </w:r>
      <w:r w:rsidR="00D20CFE" w:rsidRPr="008108CB">
        <w:rPr>
          <w:noProof/>
          <w:lang w:val="en-IE"/>
        </w:rPr>
        <w:t xml:space="preserve">, </w:t>
      </w:r>
      <w:r w:rsidR="00FA1442" w:rsidRPr="008108CB">
        <w:rPr>
          <w:noProof/>
          <w:lang w:val="en-IE"/>
        </w:rPr>
        <w:t>and</w:t>
      </w:r>
      <w:r w:rsidR="00660C48" w:rsidRPr="008108CB">
        <w:rPr>
          <w:noProof/>
          <w:lang w:val="en-IE"/>
        </w:rPr>
        <w:t xml:space="preserve"> therefore,</w:t>
      </w:r>
      <w:r w:rsidR="00E504CB" w:rsidRPr="008108CB">
        <w:rPr>
          <w:noProof/>
          <w:lang w:val="en-IE"/>
        </w:rPr>
        <w:t xml:space="preserve"> </w:t>
      </w:r>
      <w:r w:rsidR="00BE6053" w:rsidRPr="008108CB">
        <w:rPr>
          <w:noProof/>
          <w:lang w:val="en-IE"/>
        </w:rPr>
        <w:t>engage less</w:t>
      </w:r>
      <w:r w:rsidR="00522982" w:rsidRPr="008108CB">
        <w:rPr>
          <w:noProof/>
          <w:lang w:val="en-IE"/>
        </w:rPr>
        <w:t xml:space="preserve"> </w:t>
      </w:r>
      <w:r w:rsidRPr="008108CB">
        <w:rPr>
          <w:noProof/>
          <w:lang w:val="en-IE"/>
        </w:rPr>
        <w:t xml:space="preserve">in </w:t>
      </w:r>
      <w:r w:rsidR="00D20CFE" w:rsidRPr="008108CB">
        <w:rPr>
          <w:noProof/>
          <w:lang w:val="en-IE"/>
        </w:rPr>
        <w:t>teaching.</w:t>
      </w:r>
    </w:p>
    <w:p w14:paraId="6B5F5698" w14:textId="77777777" w:rsidR="002807D5" w:rsidRPr="00BF6C22" w:rsidRDefault="00C753FE" w:rsidP="00243B8A">
      <w:pPr>
        <w:rPr>
          <w:noProof/>
          <w:lang w:val="en-IE"/>
        </w:rPr>
      </w:pPr>
      <w:r w:rsidRPr="00BF6C22">
        <w:rPr>
          <w:noProof/>
          <w:lang w:val="en-IE"/>
        </w:rPr>
        <w:t xml:space="preserve">Higher education institutions </w:t>
      </w:r>
      <w:r w:rsidR="00F528F4" w:rsidRPr="00BF6C22">
        <w:rPr>
          <w:noProof/>
          <w:lang w:val="en-IE"/>
        </w:rPr>
        <w:t xml:space="preserve">also </w:t>
      </w:r>
      <w:r w:rsidR="002F7E7C" w:rsidRPr="00BF6C22">
        <w:rPr>
          <w:noProof/>
          <w:lang w:val="en-IE"/>
        </w:rPr>
        <w:t>guide innovation and the economic</w:t>
      </w:r>
      <w:r w:rsidR="0014625A" w:rsidRPr="00BF6C22">
        <w:rPr>
          <w:noProof/>
          <w:lang w:val="en-IE"/>
        </w:rPr>
        <w:t>, civic</w:t>
      </w:r>
      <w:r w:rsidR="002F7E7C" w:rsidRPr="00BF6C22">
        <w:rPr>
          <w:noProof/>
          <w:lang w:val="en-IE"/>
        </w:rPr>
        <w:t xml:space="preserve"> and cultural development of </w:t>
      </w:r>
      <w:r w:rsidR="00890B5F" w:rsidRPr="00BF6C22">
        <w:rPr>
          <w:noProof/>
          <w:lang w:val="en-IE"/>
        </w:rPr>
        <w:t>their</w:t>
      </w:r>
      <w:r w:rsidR="002F7E7C" w:rsidRPr="00BF6C22">
        <w:rPr>
          <w:noProof/>
          <w:lang w:val="en-IE"/>
        </w:rPr>
        <w:t xml:space="preserve"> region.</w:t>
      </w:r>
      <w:r w:rsidRPr="00BF6C22">
        <w:rPr>
          <w:noProof/>
          <w:lang w:val="en-IE"/>
        </w:rPr>
        <w:t xml:space="preserve"> </w:t>
      </w:r>
      <w:r w:rsidR="00890B5F" w:rsidRPr="00BF6C22">
        <w:rPr>
          <w:noProof/>
          <w:lang w:val="en-IE"/>
        </w:rPr>
        <w:t>They</w:t>
      </w:r>
      <w:r w:rsidR="00896D22" w:rsidRPr="00BF6C22">
        <w:rPr>
          <w:noProof/>
          <w:lang w:val="en-IE"/>
        </w:rPr>
        <w:t xml:space="preserve"> </w:t>
      </w:r>
      <w:r w:rsidR="00FD5893" w:rsidRPr="00BF6C22">
        <w:rPr>
          <w:noProof/>
          <w:lang w:val="en-IE"/>
        </w:rPr>
        <w:t>develop</w:t>
      </w:r>
      <w:r w:rsidR="00464D36" w:rsidRPr="00BF6C22">
        <w:rPr>
          <w:noProof/>
          <w:lang w:val="en-IE"/>
        </w:rPr>
        <w:t xml:space="preserve"> people</w:t>
      </w:r>
      <w:r w:rsidR="00FD5893" w:rsidRPr="00BF6C22">
        <w:rPr>
          <w:noProof/>
          <w:lang w:val="en-IE"/>
        </w:rPr>
        <w:t>’s</w:t>
      </w:r>
      <w:r w:rsidR="00896D22" w:rsidRPr="00BF6C22">
        <w:rPr>
          <w:noProof/>
          <w:lang w:val="en-IE"/>
        </w:rPr>
        <w:t xml:space="preserve"> knowledge and professional skills</w:t>
      </w:r>
      <w:r w:rsidR="00890B5F" w:rsidRPr="00BF6C22">
        <w:rPr>
          <w:noProof/>
          <w:lang w:val="en-IE"/>
        </w:rPr>
        <w:t xml:space="preserve"> -</w:t>
      </w:r>
      <w:r w:rsidR="00896D22" w:rsidRPr="00BF6C22">
        <w:rPr>
          <w:noProof/>
          <w:lang w:val="en-IE"/>
        </w:rPr>
        <w:t xml:space="preserve"> but also </w:t>
      </w:r>
      <w:r w:rsidR="004C22B2" w:rsidRPr="00BF6C22">
        <w:rPr>
          <w:noProof/>
          <w:lang w:val="en-IE"/>
        </w:rPr>
        <w:t xml:space="preserve">bring </w:t>
      </w:r>
      <w:r w:rsidR="00DE1E01" w:rsidRPr="00BF6C22">
        <w:rPr>
          <w:noProof/>
          <w:lang w:val="en-IE"/>
        </w:rPr>
        <w:t>people</w:t>
      </w:r>
      <w:r w:rsidRPr="00BF6C22">
        <w:rPr>
          <w:noProof/>
          <w:lang w:val="en-IE"/>
        </w:rPr>
        <w:t xml:space="preserve"> </w:t>
      </w:r>
      <w:r w:rsidR="004C22B2" w:rsidRPr="00BF6C22">
        <w:rPr>
          <w:noProof/>
          <w:lang w:val="en-IE"/>
        </w:rPr>
        <w:t xml:space="preserve">and communities together </w:t>
      </w:r>
      <w:r w:rsidR="009E4507" w:rsidRPr="00BF6C22">
        <w:rPr>
          <w:noProof/>
          <w:lang w:val="en-IE"/>
        </w:rPr>
        <w:t>to the benefit of both</w:t>
      </w:r>
      <w:r w:rsidR="00896D22" w:rsidRPr="00BF6C22">
        <w:rPr>
          <w:noProof/>
          <w:lang w:val="en-IE"/>
        </w:rPr>
        <w:t xml:space="preserve">. </w:t>
      </w:r>
      <w:r w:rsidR="009E4507" w:rsidRPr="00BF6C22">
        <w:rPr>
          <w:noProof/>
          <w:lang w:val="en-IE"/>
        </w:rPr>
        <w:t>Yet</w:t>
      </w:r>
      <w:r w:rsidR="00896D22" w:rsidRPr="00BF6C22">
        <w:rPr>
          <w:noProof/>
          <w:lang w:val="en-IE"/>
        </w:rPr>
        <w:t xml:space="preserve">, </w:t>
      </w:r>
      <w:r w:rsidR="00A55F9E" w:rsidRPr="00BF6C22">
        <w:rPr>
          <w:noProof/>
          <w:lang w:val="en-IE"/>
        </w:rPr>
        <w:t xml:space="preserve">many higher education institutions do not </w:t>
      </w:r>
      <w:r w:rsidR="00372E80">
        <w:rPr>
          <w:noProof/>
          <w:lang w:val="en-IE"/>
        </w:rPr>
        <w:t xml:space="preserve">attribute the necessary </w:t>
      </w:r>
      <w:r w:rsidR="00A55F9E" w:rsidRPr="00BF6C22">
        <w:rPr>
          <w:noProof/>
          <w:lang w:val="en-IE"/>
        </w:rPr>
        <w:t xml:space="preserve">value </w:t>
      </w:r>
      <w:r w:rsidR="00372E80">
        <w:rPr>
          <w:noProof/>
          <w:lang w:val="en-IE"/>
        </w:rPr>
        <w:t>to</w:t>
      </w:r>
      <w:r w:rsidR="009E4507" w:rsidRPr="00BF6C22">
        <w:rPr>
          <w:noProof/>
          <w:lang w:val="en-IE"/>
        </w:rPr>
        <w:t xml:space="preserve"> </w:t>
      </w:r>
      <w:r w:rsidR="00D9374F" w:rsidRPr="00BF6C22">
        <w:rPr>
          <w:noProof/>
          <w:lang w:val="en-IE"/>
        </w:rPr>
        <w:t>activities</w:t>
      </w:r>
      <w:r w:rsidR="00372E80">
        <w:rPr>
          <w:noProof/>
          <w:lang w:val="en-IE"/>
        </w:rPr>
        <w:t xml:space="preserve"> such</w:t>
      </w:r>
      <w:r w:rsidR="00D9374F" w:rsidRPr="00BF6C22">
        <w:rPr>
          <w:noProof/>
          <w:lang w:val="en-IE"/>
        </w:rPr>
        <w:t xml:space="preserve"> as</w:t>
      </w:r>
      <w:r w:rsidR="00896D22" w:rsidRPr="00BF6C22">
        <w:rPr>
          <w:noProof/>
          <w:lang w:val="en-IE"/>
        </w:rPr>
        <w:t xml:space="preserve"> </w:t>
      </w:r>
      <w:r w:rsidR="002F7E7C" w:rsidRPr="00BF6C22">
        <w:rPr>
          <w:noProof/>
          <w:lang w:val="en-IE"/>
        </w:rPr>
        <w:t xml:space="preserve">business and </w:t>
      </w:r>
      <w:r w:rsidR="00A80B7D" w:rsidRPr="00BF6C22">
        <w:rPr>
          <w:noProof/>
          <w:lang w:val="en-IE"/>
        </w:rPr>
        <w:t xml:space="preserve">community </w:t>
      </w:r>
      <w:r w:rsidR="002F7E7C" w:rsidRPr="00BF6C22">
        <w:rPr>
          <w:noProof/>
          <w:lang w:val="en-IE"/>
        </w:rPr>
        <w:t>engagement, place-based innovation</w:t>
      </w:r>
      <w:r w:rsidR="00D922E7" w:rsidRPr="00BF6C22">
        <w:rPr>
          <w:rStyle w:val="Allmrkuseviide"/>
          <w:noProof/>
        </w:rPr>
        <w:footnoteReference w:id="4"/>
      </w:r>
      <w:r w:rsidR="002F7E7C" w:rsidRPr="00BF6C22">
        <w:rPr>
          <w:noProof/>
          <w:lang w:val="en-IE"/>
        </w:rPr>
        <w:t xml:space="preserve"> </w:t>
      </w:r>
      <w:r w:rsidR="00494138" w:rsidRPr="00BF6C22">
        <w:rPr>
          <w:noProof/>
          <w:lang w:val="en-IE"/>
        </w:rPr>
        <w:t>or</w:t>
      </w:r>
      <w:r w:rsidR="002F7E7C" w:rsidRPr="00BF6C22">
        <w:rPr>
          <w:noProof/>
          <w:lang w:val="en-IE"/>
        </w:rPr>
        <w:t xml:space="preserve"> participation in institutional</w:t>
      </w:r>
      <w:r w:rsidR="00273ED5" w:rsidRPr="00BF6C22">
        <w:rPr>
          <w:noProof/>
          <w:lang w:val="en-IE"/>
        </w:rPr>
        <w:t xml:space="preserve"> </w:t>
      </w:r>
      <w:r w:rsidR="002F7E7C" w:rsidRPr="00BF6C22">
        <w:rPr>
          <w:noProof/>
          <w:lang w:val="en-IE"/>
        </w:rPr>
        <w:t>governance</w:t>
      </w:r>
      <w:r w:rsidR="00896D22" w:rsidRPr="00BF6C22">
        <w:rPr>
          <w:noProof/>
          <w:lang w:val="en-IE"/>
        </w:rPr>
        <w:t>.</w:t>
      </w:r>
    </w:p>
    <w:p w14:paraId="4389EF78" w14:textId="77777777" w:rsidR="001C24C0" w:rsidRPr="009828AB" w:rsidRDefault="00940E25" w:rsidP="005F5E08">
      <w:pPr>
        <w:rPr>
          <w:noProof/>
          <w:lang w:val="en-IE"/>
        </w:rPr>
      </w:pPr>
      <w:r w:rsidRPr="00BF6C22">
        <w:rPr>
          <w:noProof/>
          <w:lang w:val="en-IE"/>
        </w:rPr>
        <w:t xml:space="preserve">This proposal </w:t>
      </w:r>
      <w:r w:rsidR="00B2566A" w:rsidRPr="00BF6C22">
        <w:rPr>
          <w:noProof/>
          <w:lang w:val="en-IE"/>
        </w:rPr>
        <w:t xml:space="preserve">seeks to address </w:t>
      </w:r>
      <w:r w:rsidR="00494138" w:rsidRPr="00BF6C22">
        <w:rPr>
          <w:noProof/>
          <w:lang w:val="en-IE"/>
        </w:rPr>
        <w:t>this</w:t>
      </w:r>
      <w:r w:rsidR="00B2566A" w:rsidRPr="00BF6C22">
        <w:rPr>
          <w:noProof/>
          <w:lang w:val="en-IE"/>
        </w:rPr>
        <w:t xml:space="preserve"> </w:t>
      </w:r>
      <w:r w:rsidR="00494138" w:rsidRPr="00BF6C22">
        <w:rPr>
          <w:noProof/>
          <w:lang w:val="en-IE"/>
        </w:rPr>
        <w:t>as</w:t>
      </w:r>
      <w:r w:rsidRPr="00BF6C22">
        <w:rPr>
          <w:noProof/>
          <w:lang w:val="en-IE"/>
        </w:rPr>
        <w:t xml:space="preserve"> part of</w:t>
      </w:r>
      <w:r w:rsidR="002F2480" w:rsidRPr="00BF6C22">
        <w:rPr>
          <w:noProof/>
          <w:lang w:val="en-IE"/>
        </w:rPr>
        <w:t xml:space="preserve"> a larger package, </w:t>
      </w:r>
      <w:r w:rsidR="00DC32C4" w:rsidRPr="00BF6C22">
        <w:rPr>
          <w:noProof/>
          <w:lang w:val="en-IE"/>
        </w:rPr>
        <w:t>with</w:t>
      </w:r>
      <w:r w:rsidR="002F2480" w:rsidRPr="00BF6C22">
        <w:rPr>
          <w:noProof/>
          <w:lang w:val="en-IE"/>
        </w:rPr>
        <w:t xml:space="preserve"> </w:t>
      </w:r>
      <w:r w:rsidR="00312A7E" w:rsidRPr="00BF6C22">
        <w:rPr>
          <w:noProof/>
          <w:lang w:val="en-IE"/>
        </w:rPr>
        <w:t>a</w:t>
      </w:r>
      <w:r w:rsidR="002F2480" w:rsidRPr="00BF6C22">
        <w:rPr>
          <w:noProof/>
          <w:lang w:val="en-IE"/>
        </w:rPr>
        <w:t xml:space="preserve"> Communication </w:t>
      </w:r>
      <w:r w:rsidR="00BE6053" w:rsidRPr="00BF6C22">
        <w:rPr>
          <w:noProof/>
          <w:lang w:val="en-IE"/>
        </w:rPr>
        <w:t>on a b</w:t>
      </w:r>
      <w:r w:rsidR="002F2480" w:rsidRPr="00BF6C22">
        <w:rPr>
          <w:noProof/>
          <w:lang w:val="en-IE"/>
        </w:rPr>
        <w:t xml:space="preserve">lueprint </w:t>
      </w:r>
      <w:r w:rsidR="00DC32C4" w:rsidRPr="00BF6C22">
        <w:rPr>
          <w:noProof/>
          <w:lang w:val="en-IE"/>
        </w:rPr>
        <w:t>for</w:t>
      </w:r>
      <w:r w:rsidR="008A073B" w:rsidRPr="00BF6C22">
        <w:rPr>
          <w:noProof/>
          <w:lang w:val="en-IE"/>
        </w:rPr>
        <w:t xml:space="preserve"> a European degree</w:t>
      </w:r>
      <w:r w:rsidR="00B2566A" w:rsidRPr="00BF6C22">
        <w:rPr>
          <w:noProof/>
          <w:lang w:val="en-IE"/>
        </w:rPr>
        <w:t xml:space="preserve"> </w:t>
      </w:r>
      <w:r w:rsidR="00DC32C4" w:rsidRPr="00BF6C22">
        <w:rPr>
          <w:noProof/>
          <w:lang w:val="en-IE"/>
        </w:rPr>
        <w:t>and</w:t>
      </w:r>
      <w:r w:rsidR="00A55F9E" w:rsidRPr="00BF6C22">
        <w:rPr>
          <w:noProof/>
          <w:lang w:val="en-IE"/>
        </w:rPr>
        <w:t xml:space="preserve"> </w:t>
      </w:r>
      <w:r w:rsidR="00B2566A" w:rsidRPr="00BF6C22">
        <w:rPr>
          <w:noProof/>
          <w:lang w:val="en-IE"/>
        </w:rPr>
        <w:t xml:space="preserve">a proposal for a Council </w:t>
      </w:r>
      <w:r w:rsidR="00C753FE" w:rsidRPr="00BF6C22">
        <w:rPr>
          <w:noProof/>
          <w:lang w:val="en-IE"/>
        </w:rPr>
        <w:t>r</w:t>
      </w:r>
      <w:r w:rsidR="00B2566A" w:rsidRPr="00BF6C22">
        <w:rPr>
          <w:noProof/>
          <w:lang w:val="en-IE"/>
        </w:rPr>
        <w:t xml:space="preserve">ecommendation on a European Quality Assurance and Recognition system. </w:t>
      </w:r>
      <w:r w:rsidR="002A1DD0" w:rsidRPr="00BF6C22">
        <w:rPr>
          <w:noProof/>
          <w:lang w:val="en-IE"/>
        </w:rPr>
        <w:t>Th</w:t>
      </w:r>
      <w:r w:rsidR="001A1BAB" w:rsidRPr="00BF6C22">
        <w:rPr>
          <w:noProof/>
          <w:lang w:val="en-IE"/>
        </w:rPr>
        <w:t>is</w:t>
      </w:r>
      <w:r w:rsidR="002A1DD0" w:rsidRPr="00BF6C22">
        <w:rPr>
          <w:noProof/>
          <w:lang w:val="en-IE"/>
        </w:rPr>
        <w:t xml:space="preserve"> </w:t>
      </w:r>
      <w:r w:rsidR="008A073B" w:rsidRPr="00BF6C22">
        <w:rPr>
          <w:noProof/>
          <w:lang w:val="en-IE"/>
        </w:rPr>
        <w:t xml:space="preserve">initiative </w:t>
      </w:r>
      <w:r w:rsidR="002A1DD0" w:rsidRPr="00BF6C22">
        <w:rPr>
          <w:noProof/>
          <w:lang w:val="en-IE"/>
        </w:rPr>
        <w:t>support</w:t>
      </w:r>
      <w:r w:rsidR="00312A7E" w:rsidRPr="00BF6C22">
        <w:rPr>
          <w:noProof/>
          <w:lang w:val="en-IE"/>
        </w:rPr>
        <w:t>s</w:t>
      </w:r>
      <w:r w:rsidR="002A1DD0" w:rsidRPr="00BF6C22">
        <w:rPr>
          <w:noProof/>
          <w:lang w:val="en-IE"/>
        </w:rPr>
        <w:t xml:space="preserve"> work </w:t>
      </w:r>
      <w:r w:rsidR="001A1BAB" w:rsidRPr="00BF6C22">
        <w:rPr>
          <w:noProof/>
          <w:lang w:val="en-IE"/>
        </w:rPr>
        <w:t xml:space="preserve">towards </w:t>
      </w:r>
      <w:r w:rsidR="00FF3A34" w:rsidRPr="00BF6C22">
        <w:rPr>
          <w:noProof/>
          <w:lang w:val="en-IE"/>
        </w:rPr>
        <w:t>a</w:t>
      </w:r>
      <w:r w:rsidR="002A1DD0" w:rsidRPr="00BF6C22">
        <w:rPr>
          <w:noProof/>
          <w:lang w:val="en-IE"/>
        </w:rPr>
        <w:t xml:space="preserve"> European </w:t>
      </w:r>
      <w:r w:rsidR="002A1DD0" w:rsidRPr="00BF6C22">
        <w:rPr>
          <w:noProof/>
          <w:lang w:val="en-IE"/>
        </w:rPr>
        <w:lastRenderedPageBreak/>
        <w:t>degree</w:t>
      </w:r>
      <w:r w:rsidR="001C24C0" w:rsidRPr="00BF6C22">
        <w:rPr>
          <w:noProof/>
          <w:lang w:val="en-IE"/>
        </w:rPr>
        <w:t xml:space="preserve">, </w:t>
      </w:r>
      <w:r w:rsidR="008A073B" w:rsidRPr="00BF6C22">
        <w:rPr>
          <w:noProof/>
          <w:lang w:val="en-IE"/>
        </w:rPr>
        <w:t xml:space="preserve">but goes </w:t>
      </w:r>
      <w:r w:rsidR="00312A7E" w:rsidRPr="00BF6C22">
        <w:rPr>
          <w:noProof/>
          <w:lang w:val="en-IE"/>
        </w:rPr>
        <w:t>further</w:t>
      </w:r>
      <w:r w:rsidR="008A073B" w:rsidRPr="00BF6C22">
        <w:rPr>
          <w:noProof/>
          <w:lang w:val="en-IE"/>
        </w:rPr>
        <w:t xml:space="preserve">, </w:t>
      </w:r>
      <w:r w:rsidR="00455DEA" w:rsidRPr="00BF6C22">
        <w:rPr>
          <w:noProof/>
          <w:lang w:val="en-IE"/>
        </w:rPr>
        <w:t xml:space="preserve">with </w:t>
      </w:r>
      <w:r w:rsidR="004F1739" w:rsidRPr="00BF6C22">
        <w:rPr>
          <w:noProof/>
          <w:lang w:val="en-IE"/>
        </w:rPr>
        <w:t>the recommendation</w:t>
      </w:r>
      <w:r w:rsidR="00455DEA" w:rsidRPr="00BF6C22">
        <w:rPr>
          <w:noProof/>
          <w:lang w:val="en-IE"/>
        </w:rPr>
        <w:t xml:space="preserve"> on</w:t>
      </w:r>
      <w:r w:rsidR="008A073B" w:rsidRPr="00BF6C22">
        <w:rPr>
          <w:noProof/>
          <w:lang w:val="en-IE"/>
        </w:rPr>
        <w:t xml:space="preserve"> attracting and retaining excellent </w:t>
      </w:r>
      <w:r w:rsidR="00C753FE" w:rsidRPr="00BF6C22">
        <w:rPr>
          <w:noProof/>
          <w:lang w:val="en-IE"/>
        </w:rPr>
        <w:t xml:space="preserve">academic and professional </w:t>
      </w:r>
      <w:r w:rsidR="008A073B" w:rsidRPr="00BF6C22">
        <w:rPr>
          <w:noProof/>
          <w:lang w:val="en-IE"/>
        </w:rPr>
        <w:t xml:space="preserve">staff </w:t>
      </w:r>
      <w:r w:rsidR="001C24C0" w:rsidRPr="00BF6C22">
        <w:rPr>
          <w:noProof/>
          <w:lang w:val="en-IE"/>
        </w:rPr>
        <w:t>in higher education</w:t>
      </w:r>
      <w:r w:rsidR="00455DEA" w:rsidRPr="00BF6C22">
        <w:rPr>
          <w:noProof/>
          <w:lang w:val="en-IE"/>
        </w:rPr>
        <w:t xml:space="preserve"> to advance this goal</w:t>
      </w:r>
      <w:r w:rsidR="008A073B" w:rsidRPr="00BF6C22">
        <w:rPr>
          <w:noProof/>
          <w:lang w:val="en-IE"/>
        </w:rPr>
        <w:t>.</w:t>
      </w:r>
    </w:p>
    <w:p w14:paraId="1DB497F3" w14:textId="77777777" w:rsidR="0008606C" w:rsidRPr="00BF6C22" w:rsidRDefault="000F254F" w:rsidP="00EC2DD3">
      <w:pPr>
        <w:rPr>
          <w:noProof/>
          <w:lang w:val="en-IE"/>
        </w:rPr>
      </w:pPr>
      <w:r w:rsidRPr="009828AB">
        <w:rPr>
          <w:noProof/>
          <w:lang w:val="en-IE"/>
        </w:rPr>
        <w:t>T</w:t>
      </w:r>
      <w:r w:rsidR="001C04C6" w:rsidRPr="009828AB">
        <w:rPr>
          <w:noProof/>
          <w:lang w:val="en-IE"/>
        </w:rPr>
        <w:t>he ultimate goal of</w:t>
      </w:r>
      <w:r w:rsidR="00EF573C" w:rsidRPr="009828AB">
        <w:rPr>
          <w:noProof/>
          <w:lang w:val="en-IE"/>
        </w:rPr>
        <w:t xml:space="preserve"> the initiative is</w:t>
      </w:r>
      <w:r w:rsidR="001C04C6" w:rsidRPr="009828AB">
        <w:rPr>
          <w:noProof/>
          <w:lang w:val="en-IE"/>
        </w:rPr>
        <w:t xml:space="preserve"> a thriving </w:t>
      </w:r>
      <w:r w:rsidR="001C04C6" w:rsidRPr="00BF6C22">
        <w:rPr>
          <w:noProof/>
          <w:lang w:val="en-IE"/>
        </w:rPr>
        <w:t>higher education sector,</w:t>
      </w:r>
      <w:r w:rsidR="00B2566A" w:rsidRPr="00BF6C22">
        <w:rPr>
          <w:noProof/>
          <w:lang w:val="en-IE"/>
        </w:rPr>
        <w:t xml:space="preserve"> as a key building block of the European Education Area</w:t>
      </w:r>
      <w:r w:rsidR="0044402D" w:rsidRPr="008108CB">
        <w:rPr>
          <w:rStyle w:val="Allmrkuseviide"/>
          <w:noProof/>
        </w:rPr>
        <w:footnoteReference w:id="5"/>
      </w:r>
      <w:r w:rsidRPr="00BF6C22">
        <w:rPr>
          <w:noProof/>
          <w:lang w:val="en-IE"/>
        </w:rPr>
        <w:t>, to</w:t>
      </w:r>
      <w:r w:rsidR="001E663A" w:rsidRPr="00BF6C22">
        <w:rPr>
          <w:noProof/>
          <w:lang w:val="en-IE"/>
        </w:rPr>
        <w:t xml:space="preserve"> help </w:t>
      </w:r>
      <w:r w:rsidR="00B2566A" w:rsidRPr="00BF6C22">
        <w:rPr>
          <w:noProof/>
          <w:lang w:val="en-IE"/>
        </w:rPr>
        <w:t xml:space="preserve">Europe </w:t>
      </w:r>
      <w:r w:rsidR="00C067F8" w:rsidRPr="00BF6C22">
        <w:rPr>
          <w:noProof/>
          <w:lang w:val="en-IE"/>
        </w:rPr>
        <w:t>tackle</w:t>
      </w:r>
      <w:r w:rsidR="001C04C6" w:rsidRPr="00BF6C22">
        <w:rPr>
          <w:noProof/>
          <w:lang w:val="en-IE"/>
        </w:rPr>
        <w:t xml:space="preserve"> future challenges, </w:t>
      </w:r>
      <w:r w:rsidR="009D26F2" w:rsidRPr="00BF6C22">
        <w:rPr>
          <w:noProof/>
          <w:lang w:val="en-IE"/>
        </w:rPr>
        <w:t xml:space="preserve">by </w:t>
      </w:r>
      <w:r w:rsidR="001C04C6" w:rsidRPr="00BF6C22">
        <w:rPr>
          <w:noProof/>
          <w:lang w:val="en-IE"/>
        </w:rPr>
        <w:t>equip</w:t>
      </w:r>
      <w:r w:rsidR="00C104BB" w:rsidRPr="00BF6C22">
        <w:rPr>
          <w:noProof/>
          <w:lang w:val="en-IE"/>
        </w:rPr>
        <w:t>ping</w:t>
      </w:r>
      <w:r w:rsidR="001C04C6" w:rsidRPr="00BF6C22">
        <w:rPr>
          <w:noProof/>
          <w:lang w:val="en-IE"/>
        </w:rPr>
        <w:t xml:space="preserve"> people with skills </w:t>
      </w:r>
      <w:r w:rsidR="00B2566A" w:rsidRPr="00BF6C22">
        <w:rPr>
          <w:noProof/>
          <w:lang w:val="en-IE"/>
        </w:rPr>
        <w:t xml:space="preserve">in line with </w:t>
      </w:r>
      <w:r w:rsidR="00A55F9E" w:rsidRPr="00BF6C22">
        <w:rPr>
          <w:noProof/>
          <w:lang w:val="en-IE"/>
        </w:rPr>
        <w:t xml:space="preserve">changing </w:t>
      </w:r>
      <w:r w:rsidR="008D5B52" w:rsidRPr="00BF6C22">
        <w:rPr>
          <w:noProof/>
          <w:lang w:val="en-IE"/>
        </w:rPr>
        <w:t xml:space="preserve">societal </w:t>
      </w:r>
      <w:r w:rsidR="00A55F9E" w:rsidRPr="00BF6C22">
        <w:rPr>
          <w:noProof/>
          <w:lang w:val="en-IE"/>
        </w:rPr>
        <w:t>needs</w:t>
      </w:r>
      <w:r w:rsidR="001C04C6" w:rsidRPr="00BF6C22">
        <w:rPr>
          <w:noProof/>
          <w:lang w:val="en-IE"/>
        </w:rPr>
        <w:t>.</w:t>
      </w:r>
      <w:r w:rsidR="00BF6052" w:rsidRPr="00BF6C22">
        <w:rPr>
          <w:noProof/>
          <w:lang w:val="en-IE"/>
        </w:rPr>
        <w:t xml:space="preserve"> </w:t>
      </w:r>
      <w:bookmarkEnd w:id="4"/>
    </w:p>
    <w:p w14:paraId="34361873" w14:textId="77777777" w:rsidR="00732E7E" w:rsidRPr="009828AB" w:rsidRDefault="00732E7E" w:rsidP="00EC2DD3">
      <w:pPr>
        <w:rPr>
          <w:noProof/>
        </w:rPr>
      </w:pPr>
      <w:r w:rsidRPr="00BF6C22">
        <w:rPr>
          <w:noProof/>
          <w:lang w:val="en-IE"/>
        </w:rPr>
        <w:t>Th</w:t>
      </w:r>
      <w:r w:rsidR="008D5B52" w:rsidRPr="00BF6C22">
        <w:rPr>
          <w:noProof/>
          <w:lang w:val="en-IE"/>
        </w:rPr>
        <w:t>is</w:t>
      </w:r>
      <w:r w:rsidRPr="00BF6C22">
        <w:rPr>
          <w:noProof/>
          <w:lang w:val="en-IE"/>
        </w:rPr>
        <w:t xml:space="preserve"> proposal </w:t>
      </w:r>
      <w:r w:rsidR="00EB5489" w:rsidRPr="00BF6C22">
        <w:rPr>
          <w:noProof/>
          <w:lang w:val="en-IE"/>
        </w:rPr>
        <w:t>should be seen alongside</w:t>
      </w:r>
      <w:r w:rsidRPr="00BF6C22">
        <w:rPr>
          <w:noProof/>
          <w:lang w:val="en-IE"/>
        </w:rPr>
        <w:t xml:space="preserve"> the </w:t>
      </w:r>
      <w:r w:rsidRPr="00BF6C22">
        <w:rPr>
          <w:noProof/>
          <w:lang w:eastAsia="en-GB"/>
        </w:rPr>
        <w:t>Council Recommendation on establishing a European Framework to attract and retain research, innovation, and entrepreneurial talents in Europe</w:t>
      </w:r>
      <w:r w:rsidRPr="00BF6C22">
        <w:rPr>
          <w:rStyle w:val="Allmrkuseviide"/>
          <w:noProof/>
        </w:rPr>
        <w:footnoteReference w:id="6"/>
      </w:r>
      <w:r w:rsidR="00046071" w:rsidRPr="00BF6C22">
        <w:rPr>
          <w:noProof/>
          <w:lang w:eastAsia="en-GB"/>
        </w:rPr>
        <w:t xml:space="preserve"> - with</w:t>
      </w:r>
      <w:r w:rsidRPr="00BF6C22">
        <w:rPr>
          <w:noProof/>
          <w:lang w:eastAsia="en-GB"/>
        </w:rPr>
        <w:t xml:space="preserve"> </w:t>
      </w:r>
      <w:r w:rsidR="00046071" w:rsidRPr="00BF6C22">
        <w:rPr>
          <w:noProof/>
          <w:lang w:eastAsia="en-GB"/>
        </w:rPr>
        <w:t>b</w:t>
      </w:r>
      <w:r w:rsidR="0017743C" w:rsidRPr="00BF6C22">
        <w:rPr>
          <w:noProof/>
          <w:lang w:eastAsia="en-GB"/>
        </w:rPr>
        <w:t>oth</w:t>
      </w:r>
      <w:r w:rsidRPr="00BF6C22">
        <w:rPr>
          <w:noProof/>
          <w:lang w:eastAsia="en-GB"/>
        </w:rPr>
        <w:t xml:space="preserve"> reinforcing synergies</w:t>
      </w:r>
      <w:r w:rsidRPr="009828AB">
        <w:rPr>
          <w:noProof/>
          <w:lang w:eastAsia="en-GB"/>
        </w:rPr>
        <w:t xml:space="preserve"> between the European Education Area and the European Research Area</w:t>
      </w:r>
      <w:r w:rsidR="00234B0A" w:rsidRPr="009828AB">
        <w:rPr>
          <w:noProof/>
          <w:lang w:eastAsia="en-GB"/>
        </w:rPr>
        <w:t xml:space="preserve"> (ERA)</w:t>
      </w:r>
      <w:r w:rsidRPr="009828AB">
        <w:rPr>
          <w:rStyle w:val="Allmrkuseviide"/>
          <w:noProof/>
          <w:lang w:eastAsia="en-GB"/>
        </w:rPr>
        <w:footnoteReference w:id="7"/>
      </w:r>
      <w:r w:rsidRPr="009828AB">
        <w:rPr>
          <w:noProof/>
          <w:lang w:eastAsia="en-GB"/>
        </w:rPr>
        <w:t>.</w:t>
      </w:r>
    </w:p>
    <w:p w14:paraId="1A54BF15" w14:textId="77777777" w:rsidR="0067378C" w:rsidRPr="00814C1E" w:rsidRDefault="0067378C" w:rsidP="00B918A1">
      <w:pPr>
        <w:pStyle w:val="ManualHeading2"/>
        <w:ind w:left="851" w:hanging="851"/>
        <w:rPr>
          <w:noProof/>
        </w:rPr>
      </w:pPr>
      <w:r>
        <w:rPr>
          <w:noProof/>
        </w:rPr>
        <w:t>1.2.</w:t>
      </w:r>
      <w:r>
        <w:rPr>
          <w:noProof/>
        </w:rPr>
        <w:tab/>
      </w:r>
      <w:bookmarkStart w:id="5" w:name="_Hlk140064347"/>
      <w:r w:rsidRPr="00814C1E">
        <w:rPr>
          <w:noProof/>
        </w:rPr>
        <w:t xml:space="preserve">Structural and operational issues to be addressed </w:t>
      </w:r>
      <w:r w:rsidRPr="00BF6C22">
        <w:rPr>
          <w:noProof/>
        </w:rPr>
        <w:t>by th</w:t>
      </w:r>
      <w:r w:rsidR="00BF007B" w:rsidRPr="00BF6C22">
        <w:rPr>
          <w:noProof/>
        </w:rPr>
        <w:t>is</w:t>
      </w:r>
      <w:r w:rsidRPr="00BF6C22">
        <w:rPr>
          <w:noProof/>
        </w:rPr>
        <w:t xml:space="preserve"> </w:t>
      </w:r>
      <w:r w:rsidR="0089654C" w:rsidRPr="00BF6C22">
        <w:rPr>
          <w:noProof/>
        </w:rPr>
        <w:t>rec</w:t>
      </w:r>
      <w:r w:rsidRPr="00BF6C22">
        <w:rPr>
          <w:noProof/>
        </w:rPr>
        <w:t>ommendation</w:t>
      </w:r>
    </w:p>
    <w:p w14:paraId="40335129" w14:textId="77777777" w:rsidR="00442363" w:rsidRPr="00BF6C22" w:rsidRDefault="00A55F9E" w:rsidP="0016057D">
      <w:pPr>
        <w:pBdr>
          <w:top w:val="nil"/>
          <w:left w:val="nil"/>
          <w:bottom w:val="nil"/>
          <w:right w:val="nil"/>
          <w:between w:val="nil"/>
          <w:bar w:val="nil"/>
        </w:pBdr>
        <w:spacing w:before="0"/>
        <w:rPr>
          <w:rFonts w:eastAsia="Times New Roman"/>
          <w:noProof/>
          <w:lang w:val="en-IE"/>
        </w:rPr>
      </w:pPr>
      <w:r w:rsidRPr="00BF6C22">
        <w:rPr>
          <w:rFonts w:eastAsia="Times New Roman"/>
          <w:noProof/>
          <w:lang w:val="en-IE"/>
        </w:rPr>
        <w:t>E</w:t>
      </w:r>
      <w:r w:rsidR="00D14D45" w:rsidRPr="00BF6C22">
        <w:rPr>
          <w:rFonts w:eastAsia="Times New Roman"/>
          <w:noProof/>
          <w:lang w:val="en-IE"/>
        </w:rPr>
        <w:t>vidence</w:t>
      </w:r>
      <w:r w:rsidR="00DE0FCE" w:rsidRPr="00BF6C22">
        <w:rPr>
          <w:rFonts w:eastAsia="Times New Roman"/>
          <w:noProof/>
          <w:lang w:val="en-IE"/>
        </w:rPr>
        <w:t xml:space="preserve"> from studies and consultations</w:t>
      </w:r>
      <w:r w:rsidR="00D14D45" w:rsidRPr="00BF6C22">
        <w:rPr>
          <w:rFonts w:eastAsia="Times New Roman"/>
          <w:noProof/>
          <w:lang w:val="en-IE"/>
        </w:rPr>
        <w:t xml:space="preserve"> </w:t>
      </w:r>
      <w:r w:rsidR="00AD6BED" w:rsidRPr="00BF6C22">
        <w:rPr>
          <w:rFonts w:eastAsia="Times New Roman"/>
          <w:noProof/>
          <w:lang w:val="en-IE"/>
        </w:rPr>
        <w:t>point to</w:t>
      </w:r>
      <w:r w:rsidR="00D14D45" w:rsidRPr="00BF6C22">
        <w:rPr>
          <w:rFonts w:eastAsia="Times New Roman"/>
          <w:noProof/>
          <w:lang w:val="en-IE"/>
        </w:rPr>
        <w:t xml:space="preserve"> </w:t>
      </w:r>
      <w:r w:rsidR="004334CD" w:rsidRPr="00BF6C22">
        <w:rPr>
          <w:rFonts w:eastAsia="Times New Roman"/>
          <w:noProof/>
          <w:lang w:val="en-IE"/>
        </w:rPr>
        <w:t xml:space="preserve">the </w:t>
      </w:r>
      <w:r w:rsidR="00D14D45" w:rsidRPr="00BF6C22">
        <w:rPr>
          <w:rFonts w:eastAsia="Times New Roman"/>
          <w:noProof/>
          <w:lang w:val="en-IE"/>
        </w:rPr>
        <w:t xml:space="preserve">disincentives </w:t>
      </w:r>
      <w:r w:rsidR="00AD6BED" w:rsidRPr="00BF6C22">
        <w:rPr>
          <w:rFonts w:eastAsia="Times New Roman"/>
          <w:noProof/>
          <w:lang w:val="en-IE"/>
        </w:rPr>
        <w:t>for</w:t>
      </w:r>
      <w:r w:rsidR="00D14D45" w:rsidRPr="00BF6C22">
        <w:rPr>
          <w:rFonts w:eastAsia="Times New Roman"/>
          <w:noProof/>
          <w:lang w:val="en-IE"/>
        </w:rPr>
        <w:t xml:space="preserve"> staff in higher education </w:t>
      </w:r>
      <w:r w:rsidR="00412E69" w:rsidRPr="00BF6C22">
        <w:rPr>
          <w:rFonts w:eastAsia="Times New Roman"/>
          <w:noProof/>
          <w:lang w:val="en-IE"/>
        </w:rPr>
        <w:t>to</w:t>
      </w:r>
      <w:r w:rsidR="00D14D45" w:rsidRPr="00BF6C22">
        <w:rPr>
          <w:rFonts w:eastAsia="Times New Roman"/>
          <w:noProof/>
          <w:lang w:val="en-IE"/>
        </w:rPr>
        <w:t xml:space="preserve"> engag</w:t>
      </w:r>
      <w:r w:rsidR="00412E69" w:rsidRPr="00BF6C22">
        <w:rPr>
          <w:rFonts w:eastAsia="Times New Roman"/>
          <w:noProof/>
          <w:lang w:val="en-IE"/>
        </w:rPr>
        <w:t>e</w:t>
      </w:r>
      <w:r w:rsidR="00D14D45" w:rsidRPr="00BF6C22">
        <w:rPr>
          <w:rFonts w:eastAsia="Times New Roman"/>
          <w:noProof/>
          <w:lang w:val="en-IE"/>
        </w:rPr>
        <w:t xml:space="preserve"> in transnational cooperation </w:t>
      </w:r>
      <w:r w:rsidRPr="00BF6C22">
        <w:rPr>
          <w:rFonts w:eastAsia="Times New Roman"/>
          <w:noProof/>
          <w:lang w:val="en-IE"/>
        </w:rPr>
        <w:t>and</w:t>
      </w:r>
      <w:r w:rsidR="00D14D45" w:rsidRPr="00BF6C22">
        <w:rPr>
          <w:rFonts w:eastAsia="Times New Roman"/>
          <w:noProof/>
          <w:lang w:val="en-IE"/>
        </w:rPr>
        <w:t xml:space="preserve"> teachin</w:t>
      </w:r>
      <w:r w:rsidR="00DE0FCE" w:rsidRPr="00BF6C22">
        <w:rPr>
          <w:rFonts w:eastAsia="Times New Roman"/>
          <w:noProof/>
          <w:lang w:val="en-IE"/>
        </w:rPr>
        <w:t>g</w:t>
      </w:r>
      <w:r w:rsidR="005703B4" w:rsidRPr="00BF6C22">
        <w:rPr>
          <w:rFonts w:eastAsia="Times New Roman"/>
          <w:noProof/>
          <w:lang w:val="en-IE"/>
        </w:rPr>
        <w:t>,</w:t>
      </w:r>
      <w:r w:rsidR="00F55612" w:rsidRPr="00BF6C22">
        <w:rPr>
          <w:rFonts w:eastAsia="Times New Roman"/>
          <w:noProof/>
          <w:lang w:val="en-IE"/>
        </w:rPr>
        <w:t xml:space="preserve"> </w:t>
      </w:r>
      <w:r w:rsidR="005703B4" w:rsidRPr="00BF6C22">
        <w:rPr>
          <w:rFonts w:eastAsia="Times New Roman"/>
          <w:noProof/>
          <w:lang w:val="en-IE"/>
        </w:rPr>
        <w:t>and</w:t>
      </w:r>
      <w:r w:rsidR="002B20A7" w:rsidRPr="00BF6C22">
        <w:rPr>
          <w:rFonts w:eastAsia="Times New Roman"/>
          <w:noProof/>
          <w:lang w:val="en-IE"/>
        </w:rPr>
        <w:t xml:space="preserve"> </w:t>
      </w:r>
      <w:r w:rsidR="005703B4" w:rsidRPr="00BF6C22">
        <w:rPr>
          <w:rFonts w:eastAsia="Times New Roman"/>
          <w:noProof/>
          <w:lang w:val="en-IE"/>
        </w:rPr>
        <w:t>the</w:t>
      </w:r>
      <w:r w:rsidR="00A5134D" w:rsidRPr="00BF6C22">
        <w:rPr>
          <w:rFonts w:eastAsia="Times New Roman"/>
          <w:noProof/>
          <w:lang w:val="en-IE"/>
        </w:rPr>
        <w:t xml:space="preserve"> lack of recognition </w:t>
      </w:r>
      <w:r w:rsidR="005703B4" w:rsidRPr="00BF6C22">
        <w:rPr>
          <w:rFonts w:eastAsia="Times New Roman"/>
          <w:noProof/>
          <w:lang w:val="en-IE"/>
        </w:rPr>
        <w:t xml:space="preserve">for these activities </w:t>
      </w:r>
      <w:r w:rsidR="00A5134D" w:rsidRPr="00BF6C22">
        <w:rPr>
          <w:rFonts w:eastAsia="Times New Roman"/>
          <w:noProof/>
          <w:lang w:val="en-IE"/>
        </w:rPr>
        <w:t xml:space="preserve">in </w:t>
      </w:r>
      <w:r w:rsidR="00DE0FCE" w:rsidRPr="00BF6C22">
        <w:rPr>
          <w:rFonts w:eastAsia="Times New Roman"/>
          <w:noProof/>
          <w:lang w:val="en-IE"/>
        </w:rPr>
        <w:t xml:space="preserve">career </w:t>
      </w:r>
      <w:r w:rsidR="002B20A7" w:rsidRPr="00BF6C22">
        <w:rPr>
          <w:rFonts w:eastAsia="Times New Roman"/>
          <w:noProof/>
          <w:lang w:val="en-IE"/>
        </w:rPr>
        <w:t>p</w:t>
      </w:r>
      <w:r w:rsidR="002B20A7" w:rsidRPr="003310EF">
        <w:rPr>
          <w:rFonts w:eastAsia="Times New Roman"/>
          <w:noProof/>
          <w:lang w:val="en-IE"/>
        </w:rPr>
        <w:t>rogression</w:t>
      </w:r>
      <w:r w:rsidR="00D14D45" w:rsidRPr="00BF6C22">
        <w:rPr>
          <w:rFonts w:eastAsia="Times New Roman"/>
          <w:noProof/>
          <w:lang w:val="en-IE"/>
        </w:rPr>
        <w:t>.</w:t>
      </w:r>
    </w:p>
    <w:p w14:paraId="0BBD6525" w14:textId="77777777" w:rsidR="00707F5A" w:rsidRPr="00814C1E" w:rsidRDefault="00707F5A" w:rsidP="00B918A1">
      <w:pPr>
        <w:pStyle w:val="ManualHeading3"/>
        <w:rPr>
          <w:noProof/>
          <w:lang w:val="en-IE"/>
        </w:rPr>
      </w:pPr>
      <w:r>
        <w:rPr>
          <w:noProof/>
        </w:rPr>
        <w:t>1.2.1.</w:t>
      </w:r>
      <w:r>
        <w:rPr>
          <w:noProof/>
        </w:rPr>
        <w:tab/>
      </w:r>
      <w:r w:rsidRPr="00814C1E">
        <w:rPr>
          <w:noProof/>
          <w:lang w:val="en-IE"/>
        </w:rPr>
        <w:t>Promote, recognise, and val</w:t>
      </w:r>
      <w:r w:rsidR="00852994">
        <w:rPr>
          <w:noProof/>
          <w:lang w:val="en-IE"/>
        </w:rPr>
        <w:t>ue</w:t>
      </w:r>
      <w:r w:rsidRPr="00814C1E">
        <w:rPr>
          <w:noProof/>
          <w:lang w:val="en-IE"/>
        </w:rPr>
        <w:t xml:space="preserve"> engagement in deep</w:t>
      </w:r>
      <w:r w:rsidR="0002160A">
        <w:rPr>
          <w:noProof/>
          <w:lang w:val="en-IE"/>
        </w:rPr>
        <w:t>er</w:t>
      </w:r>
      <w:r w:rsidRPr="00814C1E">
        <w:rPr>
          <w:noProof/>
          <w:lang w:val="en-IE"/>
        </w:rPr>
        <w:t xml:space="preserve"> transnational cooperation</w:t>
      </w:r>
    </w:p>
    <w:p w14:paraId="7BDDE859" w14:textId="77777777" w:rsidR="0034555E" w:rsidRPr="00814C1E" w:rsidRDefault="00A55F9E" w:rsidP="000846CB">
      <w:pPr>
        <w:rPr>
          <w:noProof/>
        </w:rPr>
      </w:pPr>
      <w:r w:rsidRPr="00BF6C22">
        <w:rPr>
          <w:noProof/>
        </w:rPr>
        <w:t>Research</w:t>
      </w:r>
      <w:r w:rsidR="00DE0FCE" w:rsidRPr="00BF6C22">
        <w:rPr>
          <w:noProof/>
        </w:rPr>
        <w:t xml:space="preserve"> show</w:t>
      </w:r>
      <w:r w:rsidR="0002160A" w:rsidRPr="00BF6C22">
        <w:rPr>
          <w:noProof/>
        </w:rPr>
        <w:t>s</w:t>
      </w:r>
      <w:r w:rsidR="00DE0FCE" w:rsidRPr="00BF6C22">
        <w:rPr>
          <w:noProof/>
        </w:rPr>
        <w:t xml:space="preserve"> a widespread </w:t>
      </w:r>
      <w:r w:rsidR="5AE630E3" w:rsidRPr="00BF6C22">
        <w:rPr>
          <w:noProof/>
        </w:rPr>
        <w:t xml:space="preserve">perception that the time staff </w:t>
      </w:r>
      <w:r w:rsidR="00DE0FCE" w:rsidRPr="00BF6C22">
        <w:rPr>
          <w:noProof/>
        </w:rPr>
        <w:t xml:space="preserve">in higher education </w:t>
      </w:r>
      <w:r w:rsidR="5AE630E3" w:rsidRPr="00BF6C22">
        <w:rPr>
          <w:noProof/>
        </w:rPr>
        <w:t>devote to deepen</w:t>
      </w:r>
      <w:r w:rsidR="00DE0FCE" w:rsidRPr="00BF6C22">
        <w:rPr>
          <w:noProof/>
        </w:rPr>
        <w:t>ing</w:t>
      </w:r>
      <w:r w:rsidR="5AE630E3" w:rsidRPr="00BF6C22">
        <w:rPr>
          <w:noProof/>
        </w:rPr>
        <w:t xml:space="preserve"> transnational cooperation (including building and deploying European Universities alliances</w:t>
      </w:r>
      <w:r w:rsidR="008501B9" w:rsidRPr="00BF6C22">
        <w:rPr>
          <w:rStyle w:val="Allmrkuseviide"/>
          <w:noProof/>
        </w:rPr>
        <w:footnoteReference w:id="8"/>
      </w:r>
      <w:r w:rsidR="5AE630E3" w:rsidRPr="00BF6C22">
        <w:rPr>
          <w:noProof/>
        </w:rPr>
        <w:t xml:space="preserve">) </w:t>
      </w:r>
      <w:r w:rsidR="008906C5" w:rsidRPr="00BF6C22">
        <w:rPr>
          <w:noProof/>
        </w:rPr>
        <w:t>is</w:t>
      </w:r>
      <w:r w:rsidR="5AE630E3" w:rsidRPr="00BF6C22">
        <w:rPr>
          <w:noProof/>
        </w:rPr>
        <w:t xml:space="preserve"> not recognised </w:t>
      </w:r>
      <w:r w:rsidR="00DE0FCE" w:rsidRPr="00BF6C22">
        <w:rPr>
          <w:noProof/>
        </w:rPr>
        <w:t xml:space="preserve">adequately </w:t>
      </w:r>
      <w:r w:rsidR="5AE630E3" w:rsidRPr="00BF6C22">
        <w:rPr>
          <w:noProof/>
        </w:rPr>
        <w:t>in their careers.</w:t>
      </w:r>
      <w:r w:rsidR="5AE630E3" w:rsidRPr="00BF6C22">
        <w:rPr>
          <w:rFonts w:eastAsiaTheme="minorEastAsia"/>
          <w:noProof/>
          <w:lang w:eastAsia="en-GB"/>
        </w:rPr>
        <w:t xml:space="preserve"> </w:t>
      </w:r>
      <w:r w:rsidR="00E8594E" w:rsidRPr="00BF6C22">
        <w:rPr>
          <w:rFonts w:eastAsiaTheme="minorEastAsia"/>
          <w:noProof/>
          <w:lang w:eastAsia="en-GB"/>
        </w:rPr>
        <w:t>I</w:t>
      </w:r>
      <w:r w:rsidR="5AE630E3" w:rsidRPr="00BF6C22">
        <w:rPr>
          <w:rFonts w:eastAsiaTheme="minorEastAsia"/>
          <w:noProof/>
          <w:lang w:eastAsia="en-GB"/>
        </w:rPr>
        <w:t xml:space="preserve">n </w:t>
      </w:r>
      <w:r w:rsidR="00D41DAD" w:rsidRPr="00BF6C22">
        <w:rPr>
          <w:rFonts w:eastAsiaTheme="minorEastAsia"/>
          <w:noProof/>
          <w:lang w:eastAsia="en-GB"/>
        </w:rPr>
        <w:t>a dedicated</w:t>
      </w:r>
      <w:r w:rsidR="00D41DAD" w:rsidRPr="00BF6C22">
        <w:rPr>
          <w:noProof/>
        </w:rPr>
        <w:t xml:space="preserve"> </w:t>
      </w:r>
      <w:r w:rsidR="5AE630E3" w:rsidRPr="00BF6C22">
        <w:rPr>
          <w:noProof/>
        </w:rPr>
        <w:t>survey</w:t>
      </w:r>
      <w:r w:rsidRPr="00BF6C22">
        <w:rPr>
          <w:noProof/>
        </w:rPr>
        <w:t xml:space="preserve"> on this issue</w:t>
      </w:r>
      <w:r w:rsidR="008E1451" w:rsidRPr="00BF6C22">
        <w:rPr>
          <w:rStyle w:val="Allmrkuseviide"/>
          <w:noProof/>
        </w:rPr>
        <w:footnoteReference w:id="9"/>
      </w:r>
      <w:r w:rsidR="5AE630E3" w:rsidRPr="00BF6C22">
        <w:rPr>
          <w:noProof/>
        </w:rPr>
        <w:t xml:space="preserve">, </w:t>
      </w:r>
      <w:r w:rsidR="004606FF" w:rsidRPr="00BF6C22">
        <w:rPr>
          <w:noProof/>
        </w:rPr>
        <w:t xml:space="preserve">most </w:t>
      </w:r>
      <w:r w:rsidR="5AE630E3" w:rsidRPr="00BF6C22">
        <w:rPr>
          <w:noProof/>
        </w:rPr>
        <w:t>respondent</w:t>
      </w:r>
      <w:r w:rsidR="7BF1BAD8" w:rsidRPr="00BF6C22">
        <w:rPr>
          <w:noProof/>
        </w:rPr>
        <w:t>s</w:t>
      </w:r>
      <w:r w:rsidR="5AE630E3" w:rsidRPr="00BF6C22">
        <w:rPr>
          <w:noProof/>
        </w:rPr>
        <w:t xml:space="preserve"> agree</w:t>
      </w:r>
      <w:r w:rsidR="00DE0FCE" w:rsidRPr="00BF6C22">
        <w:rPr>
          <w:noProof/>
        </w:rPr>
        <w:t>d</w:t>
      </w:r>
      <w:r w:rsidR="5AE630E3" w:rsidRPr="00BF6C22">
        <w:rPr>
          <w:noProof/>
        </w:rPr>
        <w:t xml:space="preserve"> that transnational cooperation in teaching and learning </w:t>
      </w:r>
      <w:r w:rsidR="00DE0FCE" w:rsidRPr="00BF6C22">
        <w:rPr>
          <w:noProof/>
        </w:rPr>
        <w:t>was</w:t>
      </w:r>
      <w:r w:rsidR="5AE630E3" w:rsidRPr="00BF6C22">
        <w:rPr>
          <w:noProof/>
        </w:rPr>
        <w:t xml:space="preserve"> part of the</w:t>
      </w:r>
      <w:r w:rsidR="00FB4C11" w:rsidRPr="00BF6C22">
        <w:rPr>
          <w:noProof/>
        </w:rPr>
        <w:t>ir</w:t>
      </w:r>
      <w:r w:rsidR="5AE630E3" w:rsidRPr="00BF6C22">
        <w:rPr>
          <w:noProof/>
        </w:rPr>
        <w:t xml:space="preserve"> higher education institutional strategy</w:t>
      </w:r>
      <w:r w:rsidR="004606FF" w:rsidRPr="00BF6C22">
        <w:rPr>
          <w:noProof/>
        </w:rPr>
        <w:t xml:space="preserve"> (66%)</w:t>
      </w:r>
      <w:r w:rsidR="002C510A" w:rsidRPr="00BF6C22">
        <w:rPr>
          <w:noProof/>
        </w:rPr>
        <w:t>,</w:t>
      </w:r>
      <w:r w:rsidR="004606FF" w:rsidRPr="00BF6C22">
        <w:rPr>
          <w:noProof/>
        </w:rPr>
        <w:t xml:space="preserve"> and</w:t>
      </w:r>
      <w:r w:rsidR="5AE630E3" w:rsidRPr="00BF6C22">
        <w:rPr>
          <w:noProof/>
        </w:rPr>
        <w:t xml:space="preserve"> that career pathways for academic staff effectively enable</w:t>
      </w:r>
      <w:r w:rsidR="00DE0FCE" w:rsidRPr="00BF6C22">
        <w:rPr>
          <w:noProof/>
        </w:rPr>
        <w:t>d</w:t>
      </w:r>
      <w:r w:rsidR="5AE630E3" w:rsidRPr="00BF6C22">
        <w:rPr>
          <w:noProof/>
        </w:rPr>
        <w:t xml:space="preserve">, </w:t>
      </w:r>
      <w:r w:rsidR="00A57AE4" w:rsidRPr="00BF6C22">
        <w:rPr>
          <w:noProof/>
        </w:rPr>
        <w:t>support</w:t>
      </w:r>
      <w:r w:rsidR="00DE0FCE" w:rsidRPr="00BF6C22">
        <w:rPr>
          <w:noProof/>
        </w:rPr>
        <w:t>ed</w:t>
      </w:r>
      <w:r w:rsidR="00A57AE4" w:rsidRPr="00BF6C22">
        <w:rPr>
          <w:noProof/>
        </w:rPr>
        <w:t>,</w:t>
      </w:r>
      <w:r w:rsidR="5AE630E3" w:rsidRPr="00BF6C22">
        <w:rPr>
          <w:noProof/>
        </w:rPr>
        <w:t xml:space="preserve"> and encourage</w:t>
      </w:r>
      <w:r w:rsidR="00DE0FCE" w:rsidRPr="00BF6C22">
        <w:rPr>
          <w:noProof/>
        </w:rPr>
        <w:t>d</w:t>
      </w:r>
      <w:r w:rsidR="5AE630E3" w:rsidRPr="00BF6C22">
        <w:rPr>
          <w:noProof/>
        </w:rPr>
        <w:t xml:space="preserve"> transnational cooperation activities</w:t>
      </w:r>
      <w:r w:rsidR="004606FF" w:rsidRPr="00BF6C22">
        <w:rPr>
          <w:noProof/>
        </w:rPr>
        <w:t xml:space="preserve"> (65%). However,</w:t>
      </w:r>
      <w:r w:rsidR="00DE0FCE" w:rsidRPr="00BF6C22">
        <w:rPr>
          <w:noProof/>
        </w:rPr>
        <w:t xml:space="preserve"> when it c</w:t>
      </w:r>
      <w:r w:rsidR="00EB7678" w:rsidRPr="00BF6C22">
        <w:rPr>
          <w:noProof/>
        </w:rPr>
        <w:t>ame</w:t>
      </w:r>
      <w:r w:rsidR="00DE0FCE" w:rsidRPr="00BF6C22">
        <w:rPr>
          <w:noProof/>
        </w:rPr>
        <w:t xml:space="preserve"> to</w:t>
      </w:r>
      <w:r w:rsidR="004606FF" w:rsidRPr="00BF6C22">
        <w:rPr>
          <w:noProof/>
        </w:rPr>
        <w:t xml:space="preserve"> </w:t>
      </w:r>
      <w:r w:rsidR="00DE0FCE" w:rsidRPr="00BF6C22">
        <w:rPr>
          <w:noProof/>
        </w:rPr>
        <w:t xml:space="preserve">appraisal, promotion, and reward mechanisms, </w:t>
      </w:r>
      <w:r w:rsidR="004606FF" w:rsidRPr="00BF6C22">
        <w:rPr>
          <w:noProof/>
        </w:rPr>
        <w:t>only 40%</w:t>
      </w:r>
      <w:r w:rsidR="00D54822" w:rsidRPr="00BF6C22">
        <w:rPr>
          <w:noProof/>
        </w:rPr>
        <w:t xml:space="preserve"> of respondents</w:t>
      </w:r>
      <w:r w:rsidR="004606FF" w:rsidRPr="00BF6C22">
        <w:rPr>
          <w:noProof/>
        </w:rPr>
        <w:t xml:space="preserve"> agree</w:t>
      </w:r>
      <w:r w:rsidR="00EB7678" w:rsidRPr="00BF6C22">
        <w:rPr>
          <w:noProof/>
        </w:rPr>
        <w:t>d</w:t>
      </w:r>
      <w:r w:rsidR="004606FF" w:rsidRPr="00BF6C22">
        <w:rPr>
          <w:noProof/>
        </w:rPr>
        <w:t xml:space="preserve"> that engagement in transnational cooperation</w:t>
      </w:r>
      <w:r w:rsidR="00DE0FCE" w:rsidRPr="00BF6C22">
        <w:rPr>
          <w:noProof/>
        </w:rPr>
        <w:t xml:space="preserve"> </w:t>
      </w:r>
      <w:r w:rsidR="00EB7678" w:rsidRPr="00BF6C22">
        <w:rPr>
          <w:noProof/>
        </w:rPr>
        <w:t>was</w:t>
      </w:r>
      <w:r w:rsidR="005C3996" w:rsidRPr="00BF6C22">
        <w:rPr>
          <w:noProof/>
        </w:rPr>
        <w:t xml:space="preserve"> effectively</w:t>
      </w:r>
      <w:r w:rsidR="00EB7678" w:rsidRPr="00BF6C22">
        <w:rPr>
          <w:noProof/>
        </w:rPr>
        <w:t xml:space="preserve"> </w:t>
      </w:r>
      <w:r w:rsidR="00D54822" w:rsidRPr="00BF6C22">
        <w:rPr>
          <w:noProof/>
        </w:rPr>
        <w:t>taken into account</w:t>
      </w:r>
      <w:r w:rsidR="5AE630E3" w:rsidRPr="00BF6C22">
        <w:rPr>
          <w:noProof/>
        </w:rPr>
        <w:t>.</w:t>
      </w:r>
      <w:r w:rsidR="38ABF81C" w:rsidRPr="00BF6C22">
        <w:rPr>
          <w:noProof/>
        </w:rPr>
        <w:t xml:space="preserve"> </w:t>
      </w:r>
      <w:r w:rsidR="009A2F20" w:rsidRPr="00BF6C22">
        <w:rPr>
          <w:noProof/>
        </w:rPr>
        <w:t xml:space="preserve">In many cases, </w:t>
      </w:r>
      <w:r w:rsidR="00EB7678" w:rsidRPr="00BF6C22">
        <w:rPr>
          <w:noProof/>
        </w:rPr>
        <w:t xml:space="preserve">respondents expressed the view that </w:t>
      </w:r>
      <w:r w:rsidR="00D55CE3" w:rsidRPr="00BF6C22">
        <w:rPr>
          <w:noProof/>
        </w:rPr>
        <w:t xml:space="preserve">this </w:t>
      </w:r>
      <w:r w:rsidR="009A2F20" w:rsidRPr="00BF6C22">
        <w:rPr>
          <w:noProof/>
        </w:rPr>
        <w:t xml:space="preserve">work </w:t>
      </w:r>
      <w:r w:rsidR="00EB7678" w:rsidRPr="00BF6C22">
        <w:rPr>
          <w:noProof/>
        </w:rPr>
        <w:t>was</w:t>
      </w:r>
      <w:r w:rsidR="009A2F20" w:rsidRPr="00BF6C22">
        <w:rPr>
          <w:noProof/>
        </w:rPr>
        <w:t xml:space="preserve"> underestimated</w:t>
      </w:r>
      <w:r w:rsidR="00AC2E65">
        <w:rPr>
          <w:noProof/>
        </w:rPr>
        <w:t xml:space="preserve"> and p</w:t>
      </w:r>
      <w:r w:rsidR="009A2F20" w:rsidRPr="00814C1E">
        <w:rPr>
          <w:noProof/>
        </w:rPr>
        <w:t xml:space="preserve">eople </w:t>
      </w:r>
      <w:r w:rsidR="00EB7678">
        <w:rPr>
          <w:noProof/>
        </w:rPr>
        <w:t>were</w:t>
      </w:r>
      <w:r w:rsidR="009A2F20" w:rsidRPr="00814C1E">
        <w:rPr>
          <w:noProof/>
        </w:rPr>
        <w:t xml:space="preserve"> expected to do it in addition to their </w:t>
      </w:r>
      <w:r w:rsidR="004C22B2" w:rsidRPr="00814C1E">
        <w:rPr>
          <w:noProof/>
        </w:rPr>
        <w:t>full-time</w:t>
      </w:r>
      <w:r w:rsidR="009A2F20" w:rsidRPr="00814C1E">
        <w:rPr>
          <w:noProof/>
        </w:rPr>
        <w:t xml:space="preserve"> job. </w:t>
      </w:r>
    </w:p>
    <w:p w14:paraId="0B27891C" w14:textId="77777777" w:rsidR="000846CB" w:rsidRPr="00814C1E" w:rsidRDefault="00B3631D" w:rsidP="000846CB">
      <w:pPr>
        <w:rPr>
          <w:noProof/>
        </w:rPr>
      </w:pPr>
      <w:r w:rsidRPr="00BF6C22">
        <w:rPr>
          <w:rFonts w:eastAsiaTheme="minorEastAsia"/>
          <w:noProof/>
          <w:lang w:eastAsia="en-GB"/>
        </w:rPr>
        <w:t xml:space="preserve">Furthermore, </w:t>
      </w:r>
      <w:r w:rsidR="000846CB" w:rsidRPr="00BF6C22">
        <w:rPr>
          <w:rFonts w:eastAsiaTheme="minorEastAsia"/>
          <w:bCs/>
          <w:noProof/>
          <w:lang w:eastAsia="en-GB"/>
        </w:rPr>
        <w:t>European and international mobility</w:t>
      </w:r>
      <w:r w:rsidR="00161A5A" w:rsidRPr="00BF6C22">
        <w:rPr>
          <w:rFonts w:eastAsiaTheme="minorEastAsia"/>
          <w:bCs/>
          <w:noProof/>
          <w:lang w:eastAsia="en-GB"/>
        </w:rPr>
        <w:t xml:space="preserve"> opportunities</w:t>
      </w:r>
      <w:r w:rsidR="00710FCD" w:rsidRPr="00BF6C22">
        <w:rPr>
          <w:rFonts w:eastAsiaTheme="minorEastAsia"/>
          <w:bCs/>
          <w:noProof/>
          <w:lang w:eastAsia="en-GB"/>
        </w:rPr>
        <w:t xml:space="preserve"> </w:t>
      </w:r>
      <w:r w:rsidR="00161A5A" w:rsidRPr="00BF6C22">
        <w:rPr>
          <w:rFonts w:eastAsiaTheme="minorEastAsia"/>
          <w:bCs/>
          <w:noProof/>
          <w:lang w:eastAsia="en-GB"/>
        </w:rPr>
        <w:t>for</w:t>
      </w:r>
      <w:r w:rsidR="00710FCD" w:rsidRPr="00BF6C22">
        <w:rPr>
          <w:rFonts w:eastAsiaTheme="minorEastAsia"/>
          <w:bCs/>
          <w:noProof/>
          <w:lang w:eastAsia="en-GB"/>
        </w:rPr>
        <w:t xml:space="preserve"> staff</w:t>
      </w:r>
      <w:r w:rsidR="000846CB" w:rsidRPr="00BF6C22">
        <w:rPr>
          <w:rFonts w:eastAsiaTheme="minorEastAsia"/>
          <w:noProof/>
          <w:lang w:eastAsia="en-GB"/>
        </w:rPr>
        <w:t xml:space="preserve"> </w:t>
      </w:r>
      <w:r w:rsidR="009D1D73" w:rsidRPr="00BF6C22">
        <w:rPr>
          <w:rFonts w:eastAsiaTheme="minorEastAsia"/>
          <w:noProof/>
          <w:lang w:eastAsia="en-GB"/>
        </w:rPr>
        <w:t xml:space="preserve">are </w:t>
      </w:r>
      <w:r w:rsidR="009A2F20" w:rsidRPr="00BF6C22">
        <w:rPr>
          <w:rFonts w:eastAsiaTheme="minorEastAsia"/>
          <w:noProof/>
          <w:lang w:eastAsia="en-GB"/>
        </w:rPr>
        <w:t>not</w:t>
      </w:r>
      <w:r w:rsidR="000846CB" w:rsidRPr="00BF6C22">
        <w:rPr>
          <w:rFonts w:eastAsiaTheme="minorEastAsia"/>
          <w:noProof/>
          <w:lang w:eastAsia="en-GB"/>
        </w:rPr>
        <w:t xml:space="preserve"> </w:t>
      </w:r>
      <w:r w:rsidR="009D1D73" w:rsidRPr="00BF6C22">
        <w:rPr>
          <w:rFonts w:eastAsiaTheme="minorEastAsia"/>
          <w:noProof/>
          <w:lang w:eastAsia="en-GB"/>
        </w:rPr>
        <w:t xml:space="preserve">sufficiently </w:t>
      </w:r>
      <w:r w:rsidR="000846CB" w:rsidRPr="00BF6C22">
        <w:rPr>
          <w:rFonts w:eastAsiaTheme="minorEastAsia"/>
          <w:noProof/>
          <w:lang w:eastAsia="en-GB"/>
        </w:rPr>
        <w:t xml:space="preserve">facilitated. </w:t>
      </w:r>
      <w:r w:rsidR="00D54822" w:rsidRPr="00BF6C22">
        <w:rPr>
          <w:rFonts w:eastAsiaTheme="minorEastAsia"/>
          <w:noProof/>
          <w:lang w:eastAsia="en-GB"/>
        </w:rPr>
        <w:t>A</w:t>
      </w:r>
      <w:r w:rsidR="000846CB" w:rsidRPr="00BF6C22">
        <w:rPr>
          <w:noProof/>
        </w:rPr>
        <w:t xml:space="preserve">cademic staff participating in the Erasmus+ programme </w:t>
      </w:r>
      <w:r w:rsidR="003612ED" w:rsidRPr="00BF6C22">
        <w:rPr>
          <w:noProof/>
        </w:rPr>
        <w:t xml:space="preserve">or </w:t>
      </w:r>
      <w:r w:rsidR="00D54822" w:rsidRPr="00BF6C22">
        <w:rPr>
          <w:noProof/>
        </w:rPr>
        <w:t>Mari</w:t>
      </w:r>
      <w:r w:rsidR="008150D3" w:rsidRPr="00BF6C22">
        <w:rPr>
          <w:noProof/>
        </w:rPr>
        <w:t>e</w:t>
      </w:r>
      <w:r w:rsidR="00D54822" w:rsidRPr="00BF6C22">
        <w:rPr>
          <w:noProof/>
        </w:rPr>
        <w:t xml:space="preserve"> Sk</w:t>
      </w:r>
      <w:r w:rsidR="00D54822" w:rsidRPr="00BF6C22">
        <w:rPr>
          <w:noProof/>
          <w:lang w:val="en-IE"/>
        </w:rPr>
        <w:t>łodowska</w:t>
      </w:r>
      <w:r w:rsidR="008150D3" w:rsidRPr="00BF6C22">
        <w:rPr>
          <w:noProof/>
          <w:lang w:val="en-IE"/>
        </w:rPr>
        <w:t>-Curie</w:t>
      </w:r>
      <w:r w:rsidR="00D54822" w:rsidRPr="00BF6C22">
        <w:rPr>
          <w:noProof/>
          <w:lang w:val="en-IE"/>
        </w:rPr>
        <w:t xml:space="preserve"> Action</w:t>
      </w:r>
      <w:r w:rsidR="003612ED" w:rsidRPr="00BF6C22">
        <w:rPr>
          <w:noProof/>
        </w:rPr>
        <w:t xml:space="preserve"> </w:t>
      </w:r>
      <w:r w:rsidR="00793B6F" w:rsidRPr="00BF6C22">
        <w:rPr>
          <w:noProof/>
        </w:rPr>
        <w:t>admit</w:t>
      </w:r>
      <w:r w:rsidR="00D54822" w:rsidRPr="00BF6C22">
        <w:rPr>
          <w:noProof/>
        </w:rPr>
        <w:t xml:space="preserve"> that these two programmes </w:t>
      </w:r>
      <w:r w:rsidR="00793B6F" w:rsidRPr="00BF6C22">
        <w:rPr>
          <w:noProof/>
        </w:rPr>
        <w:t>allow</w:t>
      </w:r>
      <w:r w:rsidR="003E22ED" w:rsidRPr="00BF6C22">
        <w:rPr>
          <w:noProof/>
        </w:rPr>
        <w:t xml:space="preserve"> them </w:t>
      </w:r>
      <w:r w:rsidR="00793B6F" w:rsidRPr="00BF6C22">
        <w:rPr>
          <w:noProof/>
        </w:rPr>
        <w:t>to make</w:t>
      </w:r>
      <w:r w:rsidR="00D54822" w:rsidRPr="00BF6C22" w:rsidDel="00D54822">
        <w:rPr>
          <w:noProof/>
        </w:rPr>
        <w:t xml:space="preserve"> </w:t>
      </w:r>
      <w:r w:rsidR="000846CB" w:rsidRPr="00BF6C22">
        <w:rPr>
          <w:noProof/>
        </w:rPr>
        <w:t xml:space="preserve">greater use of innovative teaching </w:t>
      </w:r>
      <w:r w:rsidR="00D9374F" w:rsidRPr="00BF6C22">
        <w:rPr>
          <w:noProof/>
        </w:rPr>
        <w:t>methods and</w:t>
      </w:r>
      <w:r w:rsidR="00D54822" w:rsidRPr="00BF6C22">
        <w:rPr>
          <w:noProof/>
        </w:rPr>
        <w:t xml:space="preserve"> foster closer connections with the labour market. </w:t>
      </w:r>
      <w:r w:rsidR="002A6963" w:rsidRPr="00BF6C22">
        <w:rPr>
          <w:noProof/>
        </w:rPr>
        <w:t>Yet</w:t>
      </w:r>
      <w:r w:rsidR="00D54822" w:rsidRPr="00BF6C22">
        <w:rPr>
          <w:noProof/>
        </w:rPr>
        <w:t xml:space="preserve">, </w:t>
      </w:r>
      <w:r w:rsidR="000846CB" w:rsidRPr="00BF6C22">
        <w:rPr>
          <w:noProof/>
        </w:rPr>
        <w:t>a report</w:t>
      </w:r>
      <w:r w:rsidR="008E1451" w:rsidRPr="00BF6C22">
        <w:rPr>
          <w:rStyle w:val="Allmrkuseviide"/>
          <w:noProof/>
        </w:rPr>
        <w:footnoteReference w:id="10"/>
      </w:r>
      <w:r w:rsidR="000846CB" w:rsidRPr="00BF6C22">
        <w:rPr>
          <w:noProof/>
        </w:rPr>
        <w:t xml:space="preserve"> on higher education systems </w:t>
      </w:r>
      <w:r w:rsidR="002A6963" w:rsidRPr="00BF6C22">
        <w:rPr>
          <w:noProof/>
        </w:rPr>
        <w:t>resourc</w:t>
      </w:r>
      <w:r w:rsidR="001A1E49" w:rsidRPr="00BF6C22">
        <w:rPr>
          <w:noProof/>
        </w:rPr>
        <w:t xml:space="preserve">es </w:t>
      </w:r>
      <w:r w:rsidR="000846CB" w:rsidRPr="00BF6C22">
        <w:rPr>
          <w:noProof/>
        </w:rPr>
        <w:t>in 24 responding OECD</w:t>
      </w:r>
      <w:r w:rsidR="00D54822" w:rsidRPr="00BF6C22">
        <w:rPr>
          <w:rStyle w:val="Allmrkuseviide"/>
          <w:noProof/>
        </w:rPr>
        <w:footnoteReference w:id="11"/>
      </w:r>
      <w:r w:rsidR="000846CB" w:rsidRPr="00BF6C22">
        <w:rPr>
          <w:noProof/>
        </w:rPr>
        <w:t xml:space="preserve"> </w:t>
      </w:r>
      <w:r w:rsidR="00AE6770" w:rsidRPr="00BF6C22">
        <w:rPr>
          <w:noProof/>
        </w:rPr>
        <w:t>countries</w:t>
      </w:r>
      <w:r w:rsidR="000846CB" w:rsidRPr="00BF6C22">
        <w:rPr>
          <w:noProof/>
        </w:rPr>
        <w:t xml:space="preserve"> highlight</w:t>
      </w:r>
      <w:r w:rsidR="00A61F55" w:rsidRPr="00BF6C22">
        <w:rPr>
          <w:noProof/>
        </w:rPr>
        <w:t>s</w:t>
      </w:r>
      <w:r w:rsidR="000846CB" w:rsidRPr="00BF6C22">
        <w:rPr>
          <w:noProof/>
        </w:rPr>
        <w:t xml:space="preserve"> that only half of </w:t>
      </w:r>
      <w:r w:rsidR="00AE6770" w:rsidRPr="00BF6C22">
        <w:rPr>
          <w:noProof/>
        </w:rPr>
        <w:t>those</w:t>
      </w:r>
      <w:r w:rsidR="000846CB" w:rsidRPr="00BF6C22">
        <w:rPr>
          <w:noProof/>
        </w:rPr>
        <w:t xml:space="preserve"> sampled have dedicated national programmes </w:t>
      </w:r>
      <w:r w:rsidR="00D54822" w:rsidRPr="00BF6C22">
        <w:rPr>
          <w:noProof/>
        </w:rPr>
        <w:t>to</w:t>
      </w:r>
      <w:r w:rsidR="000846CB" w:rsidRPr="00BF6C22">
        <w:rPr>
          <w:noProof/>
        </w:rPr>
        <w:t xml:space="preserve"> fund and suppor</w:t>
      </w:r>
      <w:r w:rsidR="00D54822" w:rsidRPr="00BF6C22">
        <w:rPr>
          <w:noProof/>
        </w:rPr>
        <w:t>t</w:t>
      </w:r>
      <w:r w:rsidR="000846CB" w:rsidRPr="00BF6C22">
        <w:rPr>
          <w:noProof/>
        </w:rPr>
        <w:t xml:space="preserve"> staff mobility.</w:t>
      </w:r>
      <w:r w:rsidR="000846CB" w:rsidRPr="00814C1E">
        <w:rPr>
          <w:noProof/>
        </w:rPr>
        <w:t xml:space="preserve"> </w:t>
      </w:r>
    </w:p>
    <w:p w14:paraId="06C3A482" w14:textId="77777777" w:rsidR="00707F5A" w:rsidRPr="00814C1E" w:rsidRDefault="000D6348" w:rsidP="00B918A1">
      <w:pPr>
        <w:pStyle w:val="ManualHeading3"/>
        <w:rPr>
          <w:noProof/>
        </w:rPr>
      </w:pPr>
      <w:r>
        <w:rPr>
          <w:noProof/>
        </w:rPr>
        <w:lastRenderedPageBreak/>
        <w:t>1.2.2.</w:t>
      </w:r>
      <w:r>
        <w:rPr>
          <w:noProof/>
        </w:rPr>
        <w:tab/>
      </w:r>
      <w:r w:rsidRPr="00814C1E">
        <w:rPr>
          <w:noProof/>
        </w:rPr>
        <w:t>Promote, recognise, and val</w:t>
      </w:r>
      <w:r w:rsidR="00D54822">
        <w:rPr>
          <w:noProof/>
        </w:rPr>
        <w:t>ue</w:t>
      </w:r>
      <w:r w:rsidRPr="00814C1E">
        <w:rPr>
          <w:noProof/>
        </w:rPr>
        <w:t xml:space="preserve"> diverse </w:t>
      </w:r>
      <w:r w:rsidRPr="00F771BF">
        <w:rPr>
          <w:noProof/>
        </w:rPr>
        <w:t>academic roles</w:t>
      </w:r>
      <w:r w:rsidR="009A1BCB" w:rsidRPr="00F771BF">
        <w:rPr>
          <w:noProof/>
        </w:rPr>
        <w:t xml:space="preserve"> and tasks</w:t>
      </w:r>
      <w:r w:rsidRPr="00F771BF">
        <w:rPr>
          <w:noProof/>
        </w:rPr>
        <w:t>,</w:t>
      </w:r>
      <w:r w:rsidRPr="00814C1E">
        <w:rPr>
          <w:noProof/>
        </w:rPr>
        <w:t xml:space="preserve"> including innovati</w:t>
      </w:r>
      <w:r w:rsidR="00F771BF">
        <w:rPr>
          <w:noProof/>
        </w:rPr>
        <w:t>ng</w:t>
      </w:r>
      <w:r w:rsidRPr="00814C1E">
        <w:rPr>
          <w:noProof/>
        </w:rPr>
        <w:t xml:space="preserve"> and effective teaching</w:t>
      </w:r>
    </w:p>
    <w:p w14:paraId="1A8ABE95" w14:textId="77777777" w:rsidR="00BA1DB7" w:rsidRPr="00814C1E" w:rsidRDefault="24D6EA89" w:rsidP="3B9FFA42">
      <w:pPr>
        <w:pBdr>
          <w:top w:val="nil"/>
          <w:left w:val="nil"/>
          <w:bottom w:val="nil"/>
          <w:right w:val="nil"/>
          <w:between w:val="nil"/>
          <w:bar w:val="nil"/>
        </w:pBdr>
        <w:rPr>
          <w:noProof/>
        </w:rPr>
      </w:pPr>
      <w:r w:rsidRPr="00814C1E">
        <w:rPr>
          <w:noProof/>
        </w:rPr>
        <w:t>Academic staff</w:t>
      </w:r>
      <w:r w:rsidR="00E14A12">
        <w:rPr>
          <w:noProof/>
        </w:rPr>
        <w:t xml:space="preserve"> </w:t>
      </w:r>
      <w:r w:rsidR="00E14A12" w:rsidRPr="00BF6C22">
        <w:rPr>
          <w:noProof/>
        </w:rPr>
        <w:t xml:space="preserve">working </w:t>
      </w:r>
      <w:r w:rsidR="005C0C74" w:rsidRPr="00BF6C22">
        <w:rPr>
          <w:noProof/>
        </w:rPr>
        <w:t>in</w:t>
      </w:r>
      <w:r w:rsidR="00E14A12" w:rsidRPr="00BF6C22">
        <w:rPr>
          <w:noProof/>
        </w:rPr>
        <w:t xml:space="preserve"> higher education institutions</w:t>
      </w:r>
      <w:r w:rsidRPr="00BF6C22">
        <w:rPr>
          <w:noProof/>
        </w:rPr>
        <w:t xml:space="preserve"> are expected </w:t>
      </w:r>
      <w:r w:rsidR="00A30FA3" w:rsidRPr="00BF6C22">
        <w:rPr>
          <w:noProof/>
        </w:rPr>
        <w:t xml:space="preserve">by </w:t>
      </w:r>
      <w:r w:rsidR="005C0C74" w:rsidRPr="00BF6C22">
        <w:rPr>
          <w:noProof/>
        </w:rPr>
        <w:t>their employer</w:t>
      </w:r>
      <w:r w:rsidR="00A30FA3" w:rsidRPr="00BF6C22">
        <w:rPr>
          <w:noProof/>
        </w:rPr>
        <w:t xml:space="preserve"> and the wider society </w:t>
      </w:r>
      <w:r w:rsidRPr="00BF6C22">
        <w:rPr>
          <w:noProof/>
        </w:rPr>
        <w:t>to fulfil various</w:t>
      </w:r>
      <w:r w:rsidR="00D54822" w:rsidRPr="00BF6C22">
        <w:rPr>
          <w:noProof/>
        </w:rPr>
        <w:t xml:space="preserve"> additional</w:t>
      </w:r>
      <w:r w:rsidRPr="00BF6C22">
        <w:rPr>
          <w:noProof/>
        </w:rPr>
        <w:t xml:space="preserve"> roles and </w:t>
      </w:r>
      <w:r w:rsidR="00B67CA1" w:rsidRPr="00BF6C22">
        <w:rPr>
          <w:noProof/>
        </w:rPr>
        <w:t>tasks</w:t>
      </w:r>
      <w:r w:rsidR="007E3D28" w:rsidRPr="00BF6C22">
        <w:rPr>
          <w:rStyle w:val="Allmrkuseviide"/>
          <w:noProof/>
        </w:rPr>
        <w:footnoteReference w:id="12"/>
      </w:r>
      <w:r w:rsidR="006E0B21" w:rsidRPr="00BF6C22">
        <w:rPr>
          <w:noProof/>
        </w:rPr>
        <w:t xml:space="preserve"> on top of teaching and research.</w:t>
      </w:r>
      <w:r w:rsidR="002B083F" w:rsidRPr="00BF6C22">
        <w:rPr>
          <w:noProof/>
        </w:rPr>
        <w:t xml:space="preserve"> </w:t>
      </w:r>
      <w:r w:rsidR="003C54EF" w:rsidRPr="00BF6C22">
        <w:rPr>
          <w:rFonts w:eastAsiaTheme="minorEastAsia"/>
          <w:noProof/>
          <w:lang w:eastAsia="en-GB"/>
        </w:rPr>
        <w:t xml:space="preserve">Ultimately, </w:t>
      </w:r>
      <w:r w:rsidR="00EF67EE" w:rsidRPr="00BF6C22">
        <w:rPr>
          <w:rFonts w:eastAsiaTheme="minorEastAsia"/>
          <w:noProof/>
          <w:lang w:eastAsia="en-GB"/>
        </w:rPr>
        <w:t>these</w:t>
      </w:r>
      <w:r w:rsidR="00D54822" w:rsidRPr="00BF6C22">
        <w:rPr>
          <w:rFonts w:eastAsiaTheme="minorEastAsia"/>
          <w:noProof/>
          <w:lang w:eastAsia="en-GB"/>
        </w:rPr>
        <w:t xml:space="preserve"> additional </w:t>
      </w:r>
      <w:r w:rsidR="00EF67EE" w:rsidRPr="00BF6C22">
        <w:rPr>
          <w:rFonts w:eastAsiaTheme="minorEastAsia"/>
          <w:noProof/>
          <w:lang w:eastAsia="en-GB"/>
        </w:rPr>
        <w:t xml:space="preserve">tasks </w:t>
      </w:r>
      <w:r w:rsidR="00D54822" w:rsidRPr="00BF6C22">
        <w:rPr>
          <w:rFonts w:eastAsiaTheme="minorEastAsia"/>
          <w:noProof/>
          <w:lang w:eastAsia="en-GB"/>
        </w:rPr>
        <w:t xml:space="preserve">shape </w:t>
      </w:r>
      <w:r w:rsidR="003C54EF" w:rsidRPr="00BF6C22">
        <w:rPr>
          <w:rFonts w:eastAsiaTheme="minorEastAsia"/>
          <w:noProof/>
          <w:lang w:eastAsia="en-GB"/>
        </w:rPr>
        <w:t xml:space="preserve">the </w:t>
      </w:r>
      <w:r w:rsidR="002E6253" w:rsidRPr="00BF6C22">
        <w:rPr>
          <w:rFonts w:eastAsiaTheme="minorEastAsia"/>
          <w:noProof/>
          <w:lang w:eastAsia="en-GB"/>
        </w:rPr>
        <w:t xml:space="preserve">role that </w:t>
      </w:r>
      <w:r w:rsidR="003C54EF" w:rsidRPr="00BF6C22">
        <w:rPr>
          <w:rFonts w:eastAsiaTheme="minorEastAsia"/>
          <w:noProof/>
          <w:lang w:eastAsia="en-GB"/>
        </w:rPr>
        <w:t xml:space="preserve">higher education </w:t>
      </w:r>
      <w:r w:rsidR="002E6253" w:rsidRPr="00BF6C22">
        <w:rPr>
          <w:rFonts w:eastAsiaTheme="minorEastAsia"/>
          <w:noProof/>
          <w:lang w:eastAsia="en-GB"/>
        </w:rPr>
        <w:t xml:space="preserve">plays </w:t>
      </w:r>
      <w:r w:rsidR="003C54EF" w:rsidRPr="00BF6C22">
        <w:rPr>
          <w:rFonts w:eastAsiaTheme="minorEastAsia"/>
          <w:noProof/>
          <w:lang w:eastAsia="en-GB"/>
        </w:rPr>
        <w:t>in society</w:t>
      </w:r>
      <w:r w:rsidR="00B60EE3" w:rsidRPr="00BF6C22">
        <w:rPr>
          <w:rFonts w:eastAsiaTheme="minorEastAsia"/>
          <w:noProof/>
          <w:lang w:eastAsia="en-GB"/>
        </w:rPr>
        <w:t xml:space="preserve"> -</w:t>
      </w:r>
      <w:r w:rsidR="003C54EF" w:rsidRPr="00BF6C22">
        <w:rPr>
          <w:rFonts w:eastAsiaTheme="minorEastAsia"/>
          <w:noProof/>
          <w:lang w:eastAsia="en-GB"/>
        </w:rPr>
        <w:t xml:space="preserve"> </w:t>
      </w:r>
      <w:r w:rsidR="002B083F" w:rsidRPr="00BF6C22">
        <w:rPr>
          <w:rFonts w:eastAsiaTheme="minorEastAsia"/>
          <w:noProof/>
          <w:lang w:eastAsia="en-GB"/>
        </w:rPr>
        <w:t>educating</w:t>
      </w:r>
      <w:r w:rsidR="003C54EF" w:rsidRPr="00BF6C22">
        <w:rPr>
          <w:rFonts w:eastAsiaTheme="minorEastAsia"/>
          <w:noProof/>
          <w:lang w:eastAsia="en-GB"/>
        </w:rPr>
        <w:t xml:space="preserve"> </w:t>
      </w:r>
      <w:r w:rsidR="00B60EE3" w:rsidRPr="00BF6C22">
        <w:rPr>
          <w:rFonts w:eastAsiaTheme="minorEastAsia"/>
          <w:noProof/>
          <w:lang w:eastAsia="en-GB"/>
        </w:rPr>
        <w:t>highly skilled</w:t>
      </w:r>
      <w:r w:rsidR="003C54EF" w:rsidRPr="00BF6C22">
        <w:rPr>
          <w:rFonts w:eastAsiaTheme="minorEastAsia"/>
          <w:noProof/>
          <w:lang w:eastAsia="en-GB"/>
        </w:rPr>
        <w:t xml:space="preserve"> </w:t>
      </w:r>
      <w:r w:rsidR="00C753FE" w:rsidRPr="00BF6C22">
        <w:rPr>
          <w:rFonts w:eastAsiaTheme="minorEastAsia"/>
          <w:noProof/>
          <w:lang w:eastAsia="en-GB"/>
        </w:rPr>
        <w:t>professionals and</w:t>
      </w:r>
      <w:r w:rsidR="003C54EF" w:rsidRPr="00B371D5">
        <w:rPr>
          <w:rFonts w:eastAsiaTheme="minorEastAsia"/>
          <w:noProof/>
          <w:lang w:eastAsia="en-GB"/>
        </w:rPr>
        <w:t xml:space="preserve"> tackling social and economic challenges. </w:t>
      </w:r>
      <w:r w:rsidR="002B083F" w:rsidRPr="00B371D5">
        <w:rPr>
          <w:rFonts w:eastAsiaTheme="minorEastAsia"/>
          <w:noProof/>
          <w:lang w:eastAsia="en-GB"/>
        </w:rPr>
        <w:t>However, the</w:t>
      </w:r>
      <w:r w:rsidR="00927AA4">
        <w:rPr>
          <w:rFonts w:eastAsiaTheme="minorEastAsia"/>
          <w:noProof/>
          <w:lang w:eastAsia="en-GB"/>
        </w:rPr>
        <w:t>se</w:t>
      </w:r>
      <w:r w:rsidR="003B3D62" w:rsidRPr="00B371D5">
        <w:rPr>
          <w:rFonts w:eastAsiaTheme="minorEastAsia"/>
          <w:noProof/>
          <w:lang w:eastAsia="en-GB"/>
        </w:rPr>
        <w:t xml:space="preserve"> </w:t>
      </w:r>
      <w:r w:rsidR="003B3D62" w:rsidRPr="00BF6C22">
        <w:rPr>
          <w:rFonts w:eastAsiaTheme="minorEastAsia"/>
          <w:noProof/>
          <w:lang w:eastAsia="en-GB"/>
        </w:rPr>
        <w:t>diverse</w:t>
      </w:r>
      <w:r w:rsidR="002B083F" w:rsidRPr="00BF6C22">
        <w:rPr>
          <w:rFonts w:eastAsiaTheme="minorEastAsia"/>
          <w:noProof/>
          <w:lang w:eastAsia="en-GB"/>
        </w:rPr>
        <w:t xml:space="preserve"> tasks </w:t>
      </w:r>
      <w:r w:rsidR="003B3D62" w:rsidRPr="00BF6C22">
        <w:rPr>
          <w:rFonts w:eastAsiaTheme="minorEastAsia"/>
          <w:noProof/>
          <w:lang w:eastAsia="en-GB"/>
        </w:rPr>
        <w:t>are</w:t>
      </w:r>
      <w:r w:rsidR="002B083F" w:rsidRPr="00BF6C22">
        <w:rPr>
          <w:rFonts w:eastAsiaTheme="minorEastAsia"/>
          <w:noProof/>
          <w:lang w:eastAsia="en-GB"/>
        </w:rPr>
        <w:t xml:space="preserve"> not </w:t>
      </w:r>
      <w:r w:rsidR="003B3D62" w:rsidRPr="00BF6C22">
        <w:rPr>
          <w:rFonts w:eastAsiaTheme="minorEastAsia"/>
          <w:noProof/>
          <w:lang w:eastAsia="en-GB"/>
        </w:rPr>
        <w:t xml:space="preserve">valued </w:t>
      </w:r>
      <w:r w:rsidR="002B083F" w:rsidRPr="00BF6C22">
        <w:rPr>
          <w:rFonts w:eastAsiaTheme="minorEastAsia"/>
          <w:noProof/>
          <w:lang w:eastAsia="en-GB"/>
        </w:rPr>
        <w:t xml:space="preserve">equally. </w:t>
      </w:r>
      <w:r w:rsidR="2028971E" w:rsidRPr="00BF6C22">
        <w:rPr>
          <w:noProof/>
          <w:lang w:val="en-IE"/>
        </w:rPr>
        <w:t xml:space="preserve">While formal mechanisms to recognise teaching in academic careers exist in most European countries, </w:t>
      </w:r>
      <w:r w:rsidR="00927AA4" w:rsidRPr="00BF6C22">
        <w:rPr>
          <w:noProof/>
          <w:lang w:val="en-IE"/>
        </w:rPr>
        <w:t>they</w:t>
      </w:r>
      <w:r w:rsidR="00D54822" w:rsidRPr="00BF6C22">
        <w:rPr>
          <w:noProof/>
          <w:lang w:val="en-IE"/>
        </w:rPr>
        <w:t xml:space="preserve"> </w:t>
      </w:r>
      <w:r w:rsidR="00A61F55" w:rsidRPr="00BF6C22">
        <w:rPr>
          <w:noProof/>
          <w:lang w:val="en-IE"/>
        </w:rPr>
        <w:t>do not seem to work well</w:t>
      </w:r>
      <w:r w:rsidR="00C07571" w:rsidRPr="00BF6C22">
        <w:rPr>
          <w:noProof/>
          <w:lang w:val="en-IE"/>
        </w:rPr>
        <w:t xml:space="preserve"> in practice</w:t>
      </w:r>
      <w:r w:rsidR="00A61F55" w:rsidRPr="00BF6C22">
        <w:rPr>
          <w:noProof/>
          <w:lang w:val="en-IE"/>
        </w:rPr>
        <w:t xml:space="preserve">. </w:t>
      </w:r>
      <w:r w:rsidR="00C55E52" w:rsidRPr="00BF6C22">
        <w:rPr>
          <w:noProof/>
          <w:lang w:val="en-IE"/>
        </w:rPr>
        <w:t xml:space="preserve">It is </w:t>
      </w:r>
      <w:r w:rsidR="000A4716" w:rsidRPr="00BF6C22">
        <w:rPr>
          <w:noProof/>
          <w:lang w:val="en-IE"/>
        </w:rPr>
        <w:t>vital</w:t>
      </w:r>
      <w:r w:rsidR="00C55E52" w:rsidRPr="00BF6C22">
        <w:rPr>
          <w:noProof/>
          <w:lang w:val="en-IE"/>
        </w:rPr>
        <w:t xml:space="preserve"> that</w:t>
      </w:r>
      <w:r w:rsidR="00842CD2" w:rsidRPr="00BF6C22">
        <w:rPr>
          <w:noProof/>
          <w:lang w:val="en-IE"/>
        </w:rPr>
        <w:t xml:space="preserve"> </w:t>
      </w:r>
      <w:r w:rsidR="2028971E" w:rsidRPr="00BF6C22">
        <w:rPr>
          <w:noProof/>
          <w:lang w:val="en-IE"/>
        </w:rPr>
        <w:t>teaching and other non-research academic activities</w:t>
      </w:r>
      <w:r w:rsidR="00C753FE" w:rsidRPr="00BF6C22">
        <w:rPr>
          <w:noProof/>
        </w:rPr>
        <w:t xml:space="preserve"> </w:t>
      </w:r>
      <w:r w:rsidR="00C55E52" w:rsidRPr="00BF6C22">
        <w:rPr>
          <w:noProof/>
        </w:rPr>
        <w:t>–</w:t>
      </w:r>
      <w:r w:rsidR="00D1394F" w:rsidRPr="00BF6C22">
        <w:rPr>
          <w:noProof/>
        </w:rPr>
        <w:t xml:space="preserve"> </w:t>
      </w:r>
      <w:r w:rsidR="000F325A" w:rsidRPr="00BF6C22">
        <w:rPr>
          <w:noProof/>
        </w:rPr>
        <w:t>all of which</w:t>
      </w:r>
      <w:r w:rsidR="00C55E52" w:rsidRPr="00BF6C22">
        <w:rPr>
          <w:noProof/>
        </w:rPr>
        <w:t xml:space="preserve"> are </w:t>
      </w:r>
      <w:r w:rsidR="00D1394F" w:rsidRPr="00BF6C22">
        <w:rPr>
          <w:noProof/>
        </w:rPr>
        <w:t xml:space="preserve">crucial to </w:t>
      </w:r>
      <w:r w:rsidR="00D9374F" w:rsidRPr="00BF6C22">
        <w:rPr>
          <w:noProof/>
          <w:lang w:val="en-IE"/>
        </w:rPr>
        <w:t>society –</w:t>
      </w:r>
      <w:r w:rsidR="00224FE5" w:rsidRPr="00BF6C22">
        <w:rPr>
          <w:noProof/>
          <w:lang w:val="en-IE"/>
        </w:rPr>
        <w:t xml:space="preserve"> are </w:t>
      </w:r>
      <w:r w:rsidR="00C55E52" w:rsidRPr="00BF6C22">
        <w:rPr>
          <w:noProof/>
          <w:lang w:val="en-IE"/>
        </w:rPr>
        <w:t xml:space="preserve">valued on </w:t>
      </w:r>
      <w:r w:rsidR="000C6451" w:rsidRPr="00BF6C22">
        <w:rPr>
          <w:noProof/>
          <w:lang w:val="en-IE"/>
        </w:rPr>
        <w:t xml:space="preserve">an </w:t>
      </w:r>
      <w:r w:rsidR="00C55E52" w:rsidRPr="00BF6C22">
        <w:rPr>
          <w:noProof/>
          <w:lang w:val="en-IE"/>
        </w:rPr>
        <w:t>equal footing with</w:t>
      </w:r>
      <w:r w:rsidR="00842CD2" w:rsidRPr="00BF6C22">
        <w:rPr>
          <w:noProof/>
          <w:lang w:val="en-IE"/>
        </w:rPr>
        <w:t xml:space="preserve"> research</w:t>
      </w:r>
      <w:r w:rsidR="00842CD2" w:rsidRPr="00BF6C22">
        <w:rPr>
          <w:rStyle w:val="Allmrkuseviide"/>
          <w:noProof/>
          <w:lang w:val="en-IE"/>
        </w:rPr>
        <w:footnoteReference w:id="13"/>
      </w:r>
      <w:r w:rsidR="00D1394F" w:rsidRPr="00BF6C22">
        <w:rPr>
          <w:noProof/>
          <w:lang w:val="en-IE"/>
        </w:rPr>
        <w:t>.</w:t>
      </w:r>
    </w:p>
    <w:p w14:paraId="57BE2C2D" w14:textId="77777777" w:rsidR="00BA1DB7" w:rsidRPr="00814C1E" w:rsidRDefault="000F325A" w:rsidP="3B9FFA42">
      <w:pPr>
        <w:pBdr>
          <w:top w:val="nil"/>
          <w:left w:val="nil"/>
          <w:bottom w:val="nil"/>
          <w:right w:val="nil"/>
          <w:between w:val="nil"/>
          <w:bar w:val="nil"/>
        </w:pBdr>
        <w:rPr>
          <w:rFonts w:eastAsiaTheme="minorEastAsia"/>
          <w:noProof/>
          <w:lang w:eastAsia="en-GB"/>
        </w:rPr>
      </w:pPr>
      <w:r w:rsidRPr="00BF1949">
        <w:rPr>
          <w:rFonts w:eastAsiaTheme="minorEastAsia"/>
          <w:noProof/>
          <w:lang w:eastAsia="en-GB"/>
        </w:rPr>
        <w:t>Stakeholder organisations are concerned about thi</w:t>
      </w:r>
      <w:r>
        <w:rPr>
          <w:rFonts w:eastAsiaTheme="minorEastAsia"/>
          <w:noProof/>
          <w:lang w:eastAsia="en-GB"/>
        </w:rPr>
        <w:t>s</w:t>
      </w:r>
      <w:r w:rsidR="24D6EA89" w:rsidRPr="00814C1E">
        <w:rPr>
          <w:rFonts w:eastAsiaTheme="minorEastAsia"/>
          <w:noProof/>
          <w:lang w:eastAsia="en-GB"/>
        </w:rPr>
        <w:t xml:space="preserve"> lack of parity of esteem between research and </w:t>
      </w:r>
      <w:r w:rsidR="00D9374F" w:rsidRPr="00814C1E">
        <w:rPr>
          <w:rFonts w:eastAsiaTheme="minorEastAsia"/>
          <w:noProof/>
          <w:lang w:eastAsia="en-GB"/>
        </w:rPr>
        <w:t>teaching</w:t>
      </w:r>
      <w:r w:rsidR="00D9374F">
        <w:rPr>
          <w:rFonts w:eastAsiaTheme="minorEastAsia"/>
          <w:noProof/>
          <w:lang w:eastAsia="en-GB"/>
        </w:rPr>
        <w:t>.</w:t>
      </w:r>
      <w:r w:rsidR="24D6EA89" w:rsidRPr="00814C1E">
        <w:rPr>
          <w:rFonts w:eastAsiaTheme="minorEastAsia"/>
          <w:noProof/>
          <w:lang w:eastAsia="en-GB"/>
        </w:rPr>
        <w:t xml:space="preserve"> </w:t>
      </w:r>
      <w:r w:rsidRPr="00BF1949">
        <w:rPr>
          <w:noProof/>
        </w:rPr>
        <w:t xml:space="preserve">They are also </w:t>
      </w:r>
      <w:r w:rsidRPr="00BF6C22">
        <w:rPr>
          <w:noProof/>
        </w:rPr>
        <w:t xml:space="preserve">troubled by </w:t>
      </w:r>
      <w:r w:rsidR="00C10BC0" w:rsidRPr="00BF6C22">
        <w:rPr>
          <w:noProof/>
        </w:rPr>
        <w:t xml:space="preserve">the </w:t>
      </w:r>
      <w:r w:rsidR="000FEE9C" w:rsidRPr="00BF6C22">
        <w:rPr>
          <w:noProof/>
        </w:rPr>
        <w:t xml:space="preserve">high levels of dissatisfaction </w:t>
      </w:r>
      <w:r w:rsidR="00C10BC0" w:rsidRPr="00BF6C22">
        <w:rPr>
          <w:noProof/>
        </w:rPr>
        <w:t xml:space="preserve">reported </w:t>
      </w:r>
      <w:r w:rsidR="000FEE9C" w:rsidRPr="00BF6C22">
        <w:rPr>
          <w:noProof/>
        </w:rPr>
        <w:t>with institutional practice</w:t>
      </w:r>
      <w:r w:rsidR="000FEE9C" w:rsidRPr="00BF6C22">
        <w:rPr>
          <w:b/>
          <w:bCs/>
          <w:noProof/>
        </w:rPr>
        <w:t>s</w:t>
      </w:r>
      <w:r w:rsidR="000FEE9C" w:rsidRPr="00BF6C22">
        <w:rPr>
          <w:noProof/>
        </w:rPr>
        <w:t xml:space="preserve"> related to the diversity of academic roles and tasks. </w:t>
      </w:r>
      <w:bookmarkStart w:id="6" w:name="_Hlk158731075"/>
      <w:r w:rsidRPr="00BF6C22">
        <w:rPr>
          <w:noProof/>
        </w:rPr>
        <w:t xml:space="preserve">For example, </w:t>
      </w:r>
      <w:r w:rsidR="003949BE" w:rsidRPr="00BF6C22">
        <w:rPr>
          <w:noProof/>
        </w:rPr>
        <w:t>over</w:t>
      </w:r>
      <w:r w:rsidR="6FA3E4BD" w:rsidRPr="00BF6C22">
        <w:rPr>
          <w:noProof/>
        </w:rPr>
        <w:t xml:space="preserve"> two</w:t>
      </w:r>
      <w:r w:rsidR="00864255" w:rsidRPr="00BF6C22">
        <w:rPr>
          <w:noProof/>
        </w:rPr>
        <w:t>-</w:t>
      </w:r>
      <w:r w:rsidR="6FA3E4BD" w:rsidRPr="00BF6C22">
        <w:rPr>
          <w:noProof/>
        </w:rPr>
        <w:t xml:space="preserve">thirds </w:t>
      </w:r>
      <w:r w:rsidR="032332AA" w:rsidRPr="00BF6C22">
        <w:rPr>
          <w:noProof/>
        </w:rPr>
        <w:t xml:space="preserve">(70%) </w:t>
      </w:r>
      <w:r w:rsidR="6FA3E4BD" w:rsidRPr="00BF6C22">
        <w:rPr>
          <w:noProof/>
        </w:rPr>
        <w:t>of respondents</w:t>
      </w:r>
      <w:r w:rsidRPr="00BF6C22">
        <w:rPr>
          <w:noProof/>
        </w:rPr>
        <w:t xml:space="preserve"> to a recent survey</w:t>
      </w:r>
      <w:r w:rsidRPr="00BF6C22">
        <w:rPr>
          <w:rStyle w:val="Allmrkuseviide"/>
          <w:noProof/>
        </w:rPr>
        <w:footnoteReference w:id="14"/>
      </w:r>
      <w:r w:rsidR="6FA3E4BD" w:rsidRPr="00BF6C22">
        <w:rPr>
          <w:noProof/>
        </w:rPr>
        <w:t xml:space="preserve"> </w:t>
      </w:r>
      <w:r w:rsidR="07B4BA61" w:rsidRPr="00BF6C22">
        <w:rPr>
          <w:noProof/>
        </w:rPr>
        <w:t xml:space="preserve">stated that </w:t>
      </w:r>
      <w:r w:rsidR="6FA3E4BD" w:rsidRPr="00BF6C22">
        <w:rPr>
          <w:noProof/>
        </w:rPr>
        <w:t xml:space="preserve">the workload of academic staff </w:t>
      </w:r>
      <w:r w:rsidR="535960E4" w:rsidRPr="00BF6C22">
        <w:rPr>
          <w:noProof/>
        </w:rPr>
        <w:t xml:space="preserve">was not fairly distributed </w:t>
      </w:r>
      <w:r w:rsidR="003949BE" w:rsidRPr="00BF6C22">
        <w:rPr>
          <w:noProof/>
        </w:rPr>
        <w:t xml:space="preserve">evenly </w:t>
      </w:r>
      <w:r w:rsidR="6FA3E4BD" w:rsidRPr="00BF6C22">
        <w:rPr>
          <w:noProof/>
        </w:rPr>
        <w:t xml:space="preserve">across </w:t>
      </w:r>
      <w:r w:rsidR="5631AD09" w:rsidRPr="00BF6C22">
        <w:rPr>
          <w:noProof/>
        </w:rPr>
        <w:t xml:space="preserve">staff types, </w:t>
      </w:r>
      <w:r w:rsidR="08E4D522" w:rsidRPr="00BF6C22">
        <w:rPr>
          <w:noProof/>
        </w:rPr>
        <w:t>seniority</w:t>
      </w:r>
      <w:r w:rsidR="5631AD09" w:rsidRPr="00BF6C22">
        <w:rPr>
          <w:noProof/>
        </w:rPr>
        <w:t xml:space="preserve"> levels, </w:t>
      </w:r>
      <w:r w:rsidR="6FA3E4BD" w:rsidRPr="00BF6C22">
        <w:rPr>
          <w:noProof/>
        </w:rPr>
        <w:t>and roles.</w:t>
      </w:r>
      <w:r w:rsidR="5954D26A" w:rsidRPr="00BF6C22">
        <w:rPr>
          <w:noProof/>
        </w:rPr>
        <w:t xml:space="preserve"> </w:t>
      </w:r>
      <w:bookmarkEnd w:id="6"/>
      <w:r w:rsidR="15FD0B4A" w:rsidRPr="00BF6C22">
        <w:rPr>
          <w:rFonts w:eastAsiaTheme="minorEastAsia"/>
          <w:noProof/>
          <w:lang w:eastAsia="en-GB"/>
        </w:rPr>
        <w:t>A</w:t>
      </w:r>
      <w:r w:rsidR="24D6EA89" w:rsidRPr="00BF6C22">
        <w:rPr>
          <w:rFonts w:eastAsiaTheme="minorEastAsia"/>
          <w:noProof/>
          <w:lang w:eastAsia="en-GB"/>
        </w:rPr>
        <w:t>nother</w:t>
      </w:r>
      <w:r w:rsidR="15FD0B4A" w:rsidRPr="00BF6C22">
        <w:rPr>
          <w:rFonts w:eastAsiaTheme="minorEastAsia"/>
          <w:noProof/>
          <w:lang w:eastAsia="en-GB"/>
        </w:rPr>
        <w:t xml:space="preserve"> recent study shows that while teaching performance is regularly evaluated in many higher education systems, the results of </w:t>
      </w:r>
      <w:r w:rsidR="003158E9" w:rsidRPr="00BF6C22">
        <w:rPr>
          <w:rFonts w:eastAsiaTheme="minorEastAsia"/>
          <w:noProof/>
          <w:lang w:eastAsia="en-GB"/>
        </w:rPr>
        <w:t>th</w:t>
      </w:r>
      <w:r w:rsidR="00DC5834">
        <w:rPr>
          <w:rFonts w:eastAsiaTheme="minorEastAsia"/>
          <w:noProof/>
          <w:lang w:eastAsia="en-GB"/>
        </w:rPr>
        <w:t>is</w:t>
      </w:r>
      <w:r w:rsidR="15FD0B4A" w:rsidRPr="00BF6C22">
        <w:rPr>
          <w:rFonts w:eastAsiaTheme="minorEastAsia"/>
          <w:noProof/>
          <w:lang w:eastAsia="en-GB"/>
        </w:rPr>
        <w:t xml:space="preserve"> evaluation have </w:t>
      </w:r>
      <w:r w:rsidR="003158E9" w:rsidRPr="00BF6C22">
        <w:rPr>
          <w:rFonts w:eastAsiaTheme="minorEastAsia"/>
          <w:noProof/>
          <w:lang w:eastAsia="en-GB"/>
        </w:rPr>
        <w:t xml:space="preserve">only </w:t>
      </w:r>
      <w:r w:rsidR="59A915E3" w:rsidRPr="00BF6C22">
        <w:rPr>
          <w:rFonts w:eastAsiaTheme="minorEastAsia"/>
          <w:noProof/>
          <w:lang w:eastAsia="en-GB"/>
        </w:rPr>
        <w:t xml:space="preserve">a </w:t>
      </w:r>
      <w:r w:rsidR="15FD0B4A" w:rsidRPr="00BF6C22">
        <w:rPr>
          <w:rFonts w:eastAsiaTheme="minorEastAsia"/>
          <w:noProof/>
          <w:lang w:eastAsia="en-GB"/>
        </w:rPr>
        <w:t>limited impact on career</w:t>
      </w:r>
      <w:r w:rsidR="00E817D4" w:rsidRPr="00BF6C22">
        <w:rPr>
          <w:rFonts w:eastAsiaTheme="minorEastAsia"/>
          <w:noProof/>
          <w:lang w:eastAsia="en-GB"/>
        </w:rPr>
        <w:t xml:space="preserve"> progression</w:t>
      </w:r>
      <w:r w:rsidR="15FD0B4A" w:rsidRPr="00BF6C22">
        <w:rPr>
          <w:rFonts w:eastAsiaTheme="minorEastAsia"/>
          <w:noProof/>
          <w:lang w:eastAsia="en-GB"/>
        </w:rPr>
        <w:t>, with little recognition given to quality and innovative teaching</w:t>
      </w:r>
      <w:r w:rsidR="005D543C" w:rsidRPr="00BF6C22">
        <w:rPr>
          <w:rStyle w:val="Allmrkuseviide"/>
          <w:rFonts w:eastAsiaTheme="minorEastAsia"/>
          <w:noProof/>
          <w:lang w:eastAsia="en-GB"/>
        </w:rPr>
        <w:footnoteReference w:id="15"/>
      </w:r>
      <w:r w:rsidR="15FD0B4A" w:rsidRPr="00BF6C22">
        <w:rPr>
          <w:rFonts w:eastAsiaTheme="minorEastAsia"/>
          <w:noProof/>
          <w:lang w:eastAsia="en-GB"/>
        </w:rPr>
        <w:t>.</w:t>
      </w:r>
    </w:p>
    <w:p w14:paraId="35B19037" w14:textId="77777777" w:rsidR="00707F5A" w:rsidRPr="00BF6C22" w:rsidRDefault="00E47CB8" w:rsidP="3B9FFA42">
      <w:pPr>
        <w:widowControl w:val="0"/>
        <w:autoSpaceDE w:val="0"/>
        <w:autoSpaceDN w:val="0"/>
        <w:adjustRightInd w:val="0"/>
        <w:rPr>
          <w:rFonts w:eastAsiaTheme="minorEastAsia"/>
          <w:noProof/>
          <w:lang w:eastAsia="en-GB"/>
        </w:rPr>
      </w:pPr>
      <w:r w:rsidRPr="009828AB">
        <w:rPr>
          <w:rFonts w:eastAsiaTheme="minorEastAsia"/>
          <w:noProof/>
          <w:lang w:eastAsia="en-GB"/>
        </w:rPr>
        <w:t>L</w:t>
      </w:r>
      <w:r w:rsidR="18896D7A" w:rsidRPr="009828AB">
        <w:rPr>
          <w:rFonts w:eastAsiaTheme="minorEastAsia"/>
          <w:noProof/>
          <w:lang w:eastAsia="en-GB"/>
        </w:rPr>
        <w:t>inear career path</w:t>
      </w:r>
      <w:r w:rsidR="003158E9" w:rsidRPr="009828AB">
        <w:rPr>
          <w:rFonts w:eastAsiaTheme="minorEastAsia"/>
          <w:noProof/>
          <w:lang w:eastAsia="en-GB"/>
        </w:rPr>
        <w:t xml:space="preserve"> models</w:t>
      </w:r>
      <w:r w:rsidR="18896D7A" w:rsidRPr="00814C1E">
        <w:rPr>
          <w:rFonts w:eastAsiaTheme="minorEastAsia"/>
          <w:noProof/>
          <w:lang w:eastAsia="en-GB"/>
        </w:rPr>
        <w:t xml:space="preserve"> are another matter of concern to academic staff</w:t>
      </w:r>
      <w:r w:rsidR="00155378" w:rsidRPr="00814C1E">
        <w:rPr>
          <w:rFonts w:eastAsiaTheme="minorEastAsia"/>
          <w:noProof/>
          <w:lang w:eastAsia="en-GB"/>
        </w:rPr>
        <w:t>,</w:t>
      </w:r>
      <w:r w:rsidR="2F5D6C4A" w:rsidRPr="00814C1E">
        <w:rPr>
          <w:rFonts w:eastAsiaTheme="minorEastAsia"/>
          <w:noProof/>
          <w:lang w:eastAsia="en-GB"/>
        </w:rPr>
        <w:t xml:space="preserve"> as they</w:t>
      </w:r>
      <w:r w:rsidR="18896D7A" w:rsidRPr="00814C1E">
        <w:rPr>
          <w:rFonts w:eastAsiaTheme="minorEastAsia"/>
          <w:noProof/>
          <w:lang w:eastAsia="en-GB"/>
        </w:rPr>
        <w:t xml:space="preserve"> hinder the capacity of higher education institutions to innovate and engage </w:t>
      </w:r>
      <w:r w:rsidR="006947B2">
        <w:rPr>
          <w:rFonts w:eastAsiaTheme="minorEastAsia"/>
          <w:noProof/>
          <w:lang w:eastAsia="en-GB"/>
        </w:rPr>
        <w:t>with their wider ecosystem</w:t>
      </w:r>
      <w:r w:rsidR="18896D7A" w:rsidRPr="00814C1E">
        <w:rPr>
          <w:rFonts w:eastAsiaTheme="minorEastAsia"/>
          <w:noProof/>
          <w:lang w:eastAsia="en-GB"/>
        </w:rPr>
        <w:t xml:space="preserve">. Academic staff can rarely move seamlessly between </w:t>
      </w:r>
      <w:r w:rsidR="18896D7A" w:rsidRPr="00BF6C22">
        <w:rPr>
          <w:rFonts w:eastAsiaTheme="minorEastAsia"/>
          <w:noProof/>
          <w:lang w:eastAsia="en-GB"/>
        </w:rPr>
        <w:t>academia and other sectors. Yet, such a broadening of experience would contribute to</w:t>
      </w:r>
      <w:r w:rsidR="003158E9" w:rsidRPr="00BF6C22">
        <w:rPr>
          <w:rFonts w:eastAsiaTheme="minorEastAsia"/>
          <w:noProof/>
          <w:lang w:eastAsia="en-GB"/>
        </w:rPr>
        <w:t xml:space="preserve"> both</w:t>
      </w:r>
      <w:r w:rsidR="18896D7A" w:rsidRPr="00BF6C22">
        <w:rPr>
          <w:rFonts w:eastAsiaTheme="minorEastAsia"/>
          <w:noProof/>
          <w:lang w:eastAsia="en-GB"/>
        </w:rPr>
        <w:t xml:space="preserve"> the quality of teaching and academic life.</w:t>
      </w:r>
    </w:p>
    <w:p w14:paraId="77F66DF6" w14:textId="77777777" w:rsidR="007629BF" w:rsidRPr="00814C1E" w:rsidRDefault="64EAF163" w:rsidP="3B9FFA42">
      <w:pPr>
        <w:widowControl w:val="0"/>
        <w:autoSpaceDE w:val="0"/>
        <w:autoSpaceDN w:val="0"/>
        <w:adjustRightInd w:val="0"/>
        <w:rPr>
          <w:noProof/>
        </w:rPr>
      </w:pPr>
      <w:r w:rsidRPr="00BF6C22">
        <w:rPr>
          <w:rFonts w:eastAsiaTheme="minorEastAsia"/>
          <w:noProof/>
          <w:lang w:eastAsia="en-GB"/>
        </w:rPr>
        <w:t xml:space="preserve">In addition, support for development </w:t>
      </w:r>
      <w:r w:rsidR="00573098" w:rsidRPr="00BF6C22">
        <w:rPr>
          <w:rFonts w:eastAsiaTheme="minorEastAsia"/>
          <w:noProof/>
          <w:lang w:eastAsia="en-GB"/>
        </w:rPr>
        <w:t xml:space="preserve">of academic staff </w:t>
      </w:r>
      <w:r w:rsidRPr="00BF6C22">
        <w:rPr>
          <w:rFonts w:eastAsiaTheme="minorEastAsia"/>
          <w:noProof/>
          <w:lang w:eastAsia="en-GB"/>
        </w:rPr>
        <w:t xml:space="preserve">is </w:t>
      </w:r>
      <w:r w:rsidR="009A3AA7" w:rsidRPr="00BF6C22">
        <w:rPr>
          <w:rFonts w:eastAsiaTheme="minorEastAsia"/>
          <w:noProof/>
          <w:lang w:eastAsia="en-GB"/>
        </w:rPr>
        <w:t xml:space="preserve">seen as </w:t>
      </w:r>
      <w:r w:rsidR="003158E9" w:rsidRPr="00BF6C22">
        <w:rPr>
          <w:rFonts w:eastAsiaTheme="minorEastAsia"/>
          <w:noProof/>
          <w:lang w:eastAsia="en-GB"/>
        </w:rPr>
        <w:t>insu</w:t>
      </w:r>
      <w:r w:rsidRPr="00BF6C22">
        <w:rPr>
          <w:rFonts w:eastAsiaTheme="minorEastAsia"/>
          <w:noProof/>
          <w:lang w:eastAsia="en-GB"/>
        </w:rPr>
        <w:t xml:space="preserve">fficient. </w:t>
      </w:r>
      <w:r w:rsidR="000C5E1C" w:rsidRPr="00BF6C22">
        <w:rPr>
          <w:noProof/>
        </w:rPr>
        <w:t xml:space="preserve">Dealing with a more diverse student body and involving them </w:t>
      </w:r>
      <w:r w:rsidR="00F4385D" w:rsidRPr="00BF6C22">
        <w:rPr>
          <w:noProof/>
        </w:rPr>
        <w:t xml:space="preserve">in a student-centred learning environment requires </w:t>
      </w:r>
      <w:r w:rsidR="003158E9" w:rsidRPr="00BF6C22">
        <w:rPr>
          <w:noProof/>
        </w:rPr>
        <w:t xml:space="preserve">continuous </w:t>
      </w:r>
      <w:r w:rsidR="00FC0E78" w:rsidRPr="00BF6C22">
        <w:rPr>
          <w:noProof/>
        </w:rPr>
        <w:t>updating</w:t>
      </w:r>
      <w:r w:rsidR="003158E9" w:rsidRPr="00BF6C22">
        <w:rPr>
          <w:noProof/>
        </w:rPr>
        <w:t xml:space="preserve"> of</w:t>
      </w:r>
      <w:r w:rsidR="00F4385D" w:rsidRPr="00BF6C22">
        <w:rPr>
          <w:noProof/>
        </w:rPr>
        <w:t xml:space="preserve"> </w:t>
      </w:r>
      <w:r w:rsidR="003158E9" w:rsidRPr="00BF6C22">
        <w:rPr>
          <w:noProof/>
        </w:rPr>
        <w:t>teaching methods</w:t>
      </w:r>
      <w:r w:rsidR="00F4385D" w:rsidRPr="00BF6C22">
        <w:rPr>
          <w:noProof/>
        </w:rPr>
        <w:t xml:space="preserve">. </w:t>
      </w:r>
      <w:r w:rsidR="0023030D" w:rsidRPr="00BF6C22">
        <w:rPr>
          <w:noProof/>
        </w:rPr>
        <w:t>While there is</w:t>
      </w:r>
      <w:r w:rsidR="15FD0B4A" w:rsidRPr="00BF6C22">
        <w:rPr>
          <w:noProof/>
        </w:rPr>
        <w:t xml:space="preserve"> </w:t>
      </w:r>
      <w:r w:rsidR="003158E9" w:rsidRPr="00BF6C22">
        <w:rPr>
          <w:noProof/>
        </w:rPr>
        <w:t xml:space="preserve">support to academic staff </w:t>
      </w:r>
      <w:r w:rsidR="00163153" w:rsidRPr="00BF6C22">
        <w:rPr>
          <w:noProof/>
        </w:rPr>
        <w:t xml:space="preserve">to </w:t>
      </w:r>
      <w:r w:rsidR="003158E9" w:rsidRPr="00BF6C22">
        <w:rPr>
          <w:noProof/>
        </w:rPr>
        <w:t>improve teaching methods</w:t>
      </w:r>
      <w:r w:rsidR="00BB41FE" w:rsidRPr="00BF6C22">
        <w:rPr>
          <w:noProof/>
        </w:rPr>
        <w:t xml:space="preserve"> (teaching enhancement)</w:t>
      </w:r>
      <w:r w:rsidR="00AD6278" w:rsidRPr="00BF6C22">
        <w:rPr>
          <w:rStyle w:val="Allmrkuseviide"/>
          <w:noProof/>
        </w:rPr>
        <w:footnoteReference w:id="16"/>
      </w:r>
      <w:r w:rsidR="15FD0B4A" w:rsidRPr="00BF6C22">
        <w:rPr>
          <w:noProof/>
        </w:rPr>
        <w:t xml:space="preserve">, this is not widespread </w:t>
      </w:r>
      <w:r w:rsidR="003158E9" w:rsidRPr="00BF6C22">
        <w:rPr>
          <w:noProof/>
        </w:rPr>
        <w:t xml:space="preserve">across </w:t>
      </w:r>
      <w:r w:rsidR="00E62CA3" w:rsidRPr="00BF6C22">
        <w:rPr>
          <w:noProof/>
        </w:rPr>
        <w:t>the European Education Area</w:t>
      </w:r>
      <w:r w:rsidR="15FD0B4A" w:rsidRPr="00BF6C22">
        <w:rPr>
          <w:noProof/>
        </w:rPr>
        <w:t>. The implementation of a formal teaching qualification requirement for academic</w:t>
      </w:r>
      <w:r w:rsidR="774CDDC2" w:rsidRPr="00BF6C22">
        <w:rPr>
          <w:noProof/>
        </w:rPr>
        <w:t xml:space="preserve"> staff</w:t>
      </w:r>
      <w:r w:rsidR="00F014B5" w:rsidRPr="00BF6C22">
        <w:rPr>
          <w:noProof/>
        </w:rPr>
        <w:t xml:space="preserve"> taking up </w:t>
      </w:r>
      <w:r w:rsidR="002A6C67" w:rsidRPr="00BF6C22">
        <w:rPr>
          <w:noProof/>
        </w:rPr>
        <w:t xml:space="preserve">a </w:t>
      </w:r>
      <w:r w:rsidR="00F014B5" w:rsidRPr="00BF6C22">
        <w:rPr>
          <w:noProof/>
        </w:rPr>
        <w:t>teaching role in higher education,</w:t>
      </w:r>
      <w:r w:rsidR="15FD0B4A" w:rsidRPr="00BF6C22">
        <w:rPr>
          <w:noProof/>
        </w:rPr>
        <w:t xml:space="preserve"> is even less common</w:t>
      </w:r>
      <w:r w:rsidR="005D543C" w:rsidRPr="00BF6C22">
        <w:rPr>
          <w:rStyle w:val="Allmrkuseviide"/>
          <w:noProof/>
        </w:rPr>
        <w:footnoteReference w:id="17"/>
      </w:r>
      <w:r w:rsidR="15FD0B4A" w:rsidRPr="00BF6C22">
        <w:rPr>
          <w:noProof/>
        </w:rPr>
        <w:t>.</w:t>
      </w:r>
    </w:p>
    <w:p w14:paraId="43E56A5B" w14:textId="77777777" w:rsidR="00707F5A" w:rsidRPr="00814C1E" w:rsidRDefault="18896D7A" w:rsidP="00B918A1">
      <w:pPr>
        <w:pStyle w:val="ManualHeading3"/>
        <w:rPr>
          <w:noProof/>
          <w:lang w:eastAsia="en-GB"/>
        </w:rPr>
      </w:pPr>
      <w:r>
        <w:rPr>
          <w:noProof/>
        </w:rPr>
        <w:t>1.2.3.</w:t>
      </w:r>
      <w:r>
        <w:rPr>
          <w:noProof/>
        </w:rPr>
        <w:tab/>
      </w:r>
      <w:r w:rsidRPr="00814C1E">
        <w:rPr>
          <w:noProof/>
          <w:lang w:eastAsia="en-GB"/>
        </w:rPr>
        <w:t>Promote</w:t>
      </w:r>
      <w:r w:rsidR="0001656F" w:rsidRPr="00814C1E">
        <w:rPr>
          <w:noProof/>
          <w:lang w:eastAsia="en-GB"/>
        </w:rPr>
        <w:t xml:space="preserve"> </w:t>
      </w:r>
      <w:bookmarkStart w:id="7" w:name="_Hlk161072162"/>
      <w:r w:rsidR="0001656F" w:rsidRPr="00814C1E">
        <w:rPr>
          <w:noProof/>
          <w:lang w:eastAsia="en-GB"/>
        </w:rPr>
        <w:t>competitive</w:t>
      </w:r>
      <w:r w:rsidR="00F4385D" w:rsidRPr="00814C1E">
        <w:rPr>
          <w:noProof/>
          <w:lang w:eastAsia="en-GB"/>
        </w:rPr>
        <w:t>,</w:t>
      </w:r>
      <w:r w:rsidR="00993F6A">
        <w:rPr>
          <w:noProof/>
          <w:lang w:eastAsia="en-GB"/>
        </w:rPr>
        <w:t xml:space="preserve"> safe,</w:t>
      </w:r>
      <w:r w:rsidR="00F4385D" w:rsidRPr="00814C1E">
        <w:rPr>
          <w:noProof/>
          <w:lang w:eastAsia="en-GB"/>
        </w:rPr>
        <w:t xml:space="preserve"> </w:t>
      </w:r>
      <w:r w:rsidR="007041AF" w:rsidRPr="00814C1E">
        <w:rPr>
          <w:noProof/>
          <w:lang w:eastAsia="en-GB"/>
        </w:rPr>
        <w:t>fair</w:t>
      </w:r>
      <w:r w:rsidR="0074715C">
        <w:rPr>
          <w:noProof/>
          <w:lang w:eastAsia="en-GB"/>
        </w:rPr>
        <w:t>, free</w:t>
      </w:r>
      <w:r w:rsidR="007041AF" w:rsidRPr="00814C1E">
        <w:rPr>
          <w:noProof/>
          <w:lang w:eastAsia="en-GB"/>
        </w:rPr>
        <w:t xml:space="preserve"> </w:t>
      </w:r>
      <w:r w:rsidR="004D7566" w:rsidRPr="00814C1E">
        <w:rPr>
          <w:noProof/>
          <w:lang w:eastAsia="en-GB"/>
        </w:rPr>
        <w:t>and non-discriminatory</w:t>
      </w:r>
      <w:r w:rsidRPr="00814C1E">
        <w:rPr>
          <w:noProof/>
          <w:lang w:eastAsia="en-GB"/>
        </w:rPr>
        <w:t xml:space="preserve"> </w:t>
      </w:r>
      <w:bookmarkEnd w:id="7"/>
      <w:r w:rsidRPr="00814C1E">
        <w:rPr>
          <w:noProof/>
          <w:lang w:eastAsia="en-GB"/>
        </w:rPr>
        <w:t>condition</w:t>
      </w:r>
      <w:r w:rsidR="004D7566" w:rsidRPr="00814C1E">
        <w:rPr>
          <w:noProof/>
          <w:lang w:eastAsia="en-GB"/>
        </w:rPr>
        <w:t>s</w:t>
      </w:r>
      <w:r w:rsidR="0001656F" w:rsidRPr="00814C1E">
        <w:rPr>
          <w:noProof/>
          <w:lang w:eastAsia="en-GB"/>
        </w:rPr>
        <w:t xml:space="preserve"> to attract and retain staff</w:t>
      </w:r>
    </w:p>
    <w:p w14:paraId="532E05CA" w14:textId="71BDB60D" w:rsidR="000F5DC7" w:rsidRPr="00EB34AB" w:rsidRDefault="000F5DC7" w:rsidP="00C40AF0">
      <w:pPr>
        <w:rPr>
          <w:noProof/>
        </w:rPr>
      </w:pPr>
      <w:bookmarkStart w:id="8" w:name="_Hlk161318050"/>
      <w:r w:rsidRPr="008B095F">
        <w:rPr>
          <w:noProof/>
        </w:rPr>
        <w:t xml:space="preserve">High quality teaching and transnational cooperation can only be developed in a </w:t>
      </w:r>
      <w:r w:rsidR="0074715C" w:rsidRPr="008B095F">
        <w:rPr>
          <w:noProof/>
        </w:rPr>
        <w:t xml:space="preserve">free, </w:t>
      </w:r>
      <w:r w:rsidRPr="008B095F">
        <w:rPr>
          <w:noProof/>
        </w:rPr>
        <w:t xml:space="preserve">safe, predictable, and stable working environment. The wellbeing of the academic staff relies on several factors: possibility for professional development, equality </w:t>
      </w:r>
      <w:r>
        <w:rPr>
          <w:noProof/>
        </w:rPr>
        <w:t xml:space="preserve">and non-discrimination </w:t>
      </w:r>
      <w:r w:rsidRPr="008B095F">
        <w:rPr>
          <w:noProof/>
        </w:rPr>
        <w:t xml:space="preserve">in recruitment and promotion, mobility opportunities, and intellectual freedom. </w:t>
      </w:r>
      <w:r w:rsidR="00BD26E1" w:rsidRPr="008B095F">
        <w:rPr>
          <w:noProof/>
        </w:rPr>
        <w:t>These are key factors to attract younger generations to a career in academia. At the same time, t</w:t>
      </w:r>
      <w:r w:rsidRPr="008B095F">
        <w:rPr>
          <w:noProof/>
          <w:lang w:eastAsia="en-GB"/>
        </w:rPr>
        <w:t>he lack of</w:t>
      </w:r>
      <w:r>
        <w:rPr>
          <w:noProof/>
          <w:lang w:eastAsia="en-GB"/>
        </w:rPr>
        <w:t xml:space="preserve"> inclusiveness and</w:t>
      </w:r>
      <w:r w:rsidR="00B918A1">
        <w:rPr>
          <w:noProof/>
          <w:lang w:eastAsia="en-GB"/>
        </w:rPr>
        <w:t xml:space="preserve"> </w:t>
      </w:r>
      <w:r w:rsidRPr="008B095F">
        <w:rPr>
          <w:noProof/>
          <w:lang w:eastAsia="en-GB"/>
        </w:rPr>
        <w:t xml:space="preserve">competitiveness in terms of attractive working conditions </w:t>
      </w:r>
      <w:r w:rsidR="00BD26E1" w:rsidRPr="008B095F">
        <w:rPr>
          <w:noProof/>
          <w:lang w:eastAsia="en-GB"/>
        </w:rPr>
        <w:t>may</w:t>
      </w:r>
      <w:r w:rsidRPr="008B095F">
        <w:rPr>
          <w:noProof/>
          <w:lang w:eastAsia="en-GB"/>
        </w:rPr>
        <w:t xml:space="preserve"> deter people from opting for this </w:t>
      </w:r>
      <w:r w:rsidR="009E624E" w:rsidRPr="008B095F">
        <w:rPr>
          <w:noProof/>
          <w:lang w:eastAsia="en-GB"/>
        </w:rPr>
        <w:t xml:space="preserve">type of </w:t>
      </w:r>
      <w:r w:rsidRPr="008B095F">
        <w:rPr>
          <w:noProof/>
          <w:lang w:eastAsia="en-GB"/>
        </w:rPr>
        <w:t xml:space="preserve">career. </w:t>
      </w:r>
      <w:r w:rsidR="0024316F" w:rsidRPr="008B095F">
        <w:rPr>
          <w:noProof/>
          <w:lang w:eastAsia="en-GB"/>
        </w:rPr>
        <w:t xml:space="preserve">The high proportion of </w:t>
      </w:r>
      <w:r w:rsidRPr="008B095F">
        <w:rPr>
          <w:noProof/>
          <w:lang w:eastAsia="en-GB"/>
        </w:rPr>
        <w:t xml:space="preserve">precarious contracts </w:t>
      </w:r>
      <w:r w:rsidR="0024316F" w:rsidRPr="008B095F">
        <w:rPr>
          <w:noProof/>
          <w:lang w:eastAsia="en-GB"/>
        </w:rPr>
        <w:t xml:space="preserve">in the field of </w:t>
      </w:r>
      <w:r w:rsidR="0024316F" w:rsidRPr="008B095F">
        <w:rPr>
          <w:noProof/>
          <w:lang w:eastAsia="en-GB"/>
        </w:rPr>
        <w:lastRenderedPageBreak/>
        <w:t xml:space="preserve">higher education, especially in early-stage careers, prevent them </w:t>
      </w:r>
      <w:r w:rsidR="00891DC6">
        <w:rPr>
          <w:noProof/>
          <w:lang w:eastAsia="en-GB"/>
        </w:rPr>
        <w:t>from</w:t>
      </w:r>
      <w:r w:rsidRPr="008B095F">
        <w:rPr>
          <w:noProof/>
          <w:lang w:eastAsia="en-GB"/>
        </w:rPr>
        <w:t xml:space="preserve"> develop</w:t>
      </w:r>
      <w:r w:rsidR="00891DC6">
        <w:rPr>
          <w:noProof/>
          <w:lang w:eastAsia="en-GB"/>
        </w:rPr>
        <w:t>ing</w:t>
      </w:r>
      <w:r w:rsidRPr="008B095F">
        <w:rPr>
          <w:noProof/>
          <w:lang w:eastAsia="en-GB"/>
        </w:rPr>
        <w:t xml:space="preserve"> their professional skills.</w:t>
      </w:r>
      <w:r w:rsidRPr="008B095F">
        <w:rPr>
          <w:noProof/>
        </w:rPr>
        <w:t xml:space="preserve"> </w:t>
      </w:r>
      <w:r w:rsidR="0024316F" w:rsidRPr="008B095F">
        <w:rPr>
          <w:noProof/>
        </w:rPr>
        <w:t xml:space="preserve">That is why </w:t>
      </w:r>
      <w:r w:rsidR="00E83FE0" w:rsidRPr="008B095F">
        <w:rPr>
          <w:noProof/>
        </w:rPr>
        <w:t>e</w:t>
      </w:r>
      <w:r w:rsidRPr="008B095F">
        <w:rPr>
          <w:noProof/>
        </w:rPr>
        <w:t>ffective social dialogue and academic freedom are necessary supportive elements to achieve high quality education</w:t>
      </w:r>
      <w:r w:rsidR="0074715C" w:rsidRPr="008B095F">
        <w:rPr>
          <w:noProof/>
        </w:rPr>
        <w:t xml:space="preserve"> and transnational cooperation</w:t>
      </w:r>
      <w:r w:rsidRPr="008B095F">
        <w:rPr>
          <w:noProof/>
        </w:rPr>
        <w:t>.</w:t>
      </w:r>
    </w:p>
    <w:bookmarkEnd w:id="8"/>
    <w:p w14:paraId="27A10355" w14:textId="77777777" w:rsidR="00E85D72" w:rsidRPr="00BF6C22" w:rsidRDefault="000F5DC7" w:rsidP="00E85D72">
      <w:pPr>
        <w:widowControl w:val="0"/>
        <w:autoSpaceDE w:val="0"/>
        <w:autoSpaceDN w:val="0"/>
        <w:adjustRightInd w:val="0"/>
        <w:rPr>
          <w:noProof/>
          <w:szCs w:val="24"/>
          <w:shd w:val="clear" w:color="auto" w:fill="FFFFFF"/>
          <w:lang w:val="en-IE"/>
        </w:rPr>
      </w:pPr>
      <w:r>
        <w:rPr>
          <w:noProof/>
          <w:szCs w:val="24"/>
          <w:shd w:val="clear" w:color="auto" w:fill="FFFFFF"/>
          <w:lang w:val="en-IE"/>
        </w:rPr>
        <w:t>T</w:t>
      </w:r>
      <w:r w:rsidR="008371C1" w:rsidRPr="00BF6C22">
        <w:rPr>
          <w:noProof/>
          <w:szCs w:val="24"/>
          <w:shd w:val="clear" w:color="auto" w:fill="FFFFFF"/>
          <w:lang w:val="en-IE"/>
        </w:rPr>
        <w:t>he specific characteristics of higher education</w:t>
      </w:r>
      <w:r w:rsidR="00AF0AAD" w:rsidRPr="00BF6C22">
        <w:rPr>
          <w:noProof/>
          <w:szCs w:val="24"/>
          <w:shd w:val="clear" w:color="auto" w:fill="FFFFFF"/>
          <w:lang w:val="en-IE"/>
        </w:rPr>
        <w:t xml:space="preserve"> and </w:t>
      </w:r>
      <w:r w:rsidR="008371C1" w:rsidRPr="00BF6C22">
        <w:rPr>
          <w:noProof/>
          <w:szCs w:val="24"/>
          <w:shd w:val="clear" w:color="auto" w:fill="FFFFFF"/>
          <w:lang w:val="en-IE"/>
        </w:rPr>
        <w:t>variety of institutions</w:t>
      </w:r>
      <w:r w:rsidR="00B7766F" w:rsidRPr="00BF6C22">
        <w:rPr>
          <w:noProof/>
          <w:szCs w:val="24"/>
          <w:shd w:val="clear" w:color="auto" w:fill="FFFFFF"/>
          <w:lang w:val="en-IE"/>
        </w:rPr>
        <w:t xml:space="preserve"> means</w:t>
      </w:r>
      <w:r w:rsidR="008371C1" w:rsidRPr="00BF6C22">
        <w:rPr>
          <w:noProof/>
          <w:szCs w:val="24"/>
          <w:shd w:val="clear" w:color="auto" w:fill="FFFFFF"/>
          <w:lang w:val="en-IE"/>
        </w:rPr>
        <w:t xml:space="preserve"> the situation of academic staff</w:t>
      </w:r>
      <w:r w:rsidR="003A1415" w:rsidRPr="00BF6C22">
        <w:rPr>
          <w:noProof/>
          <w:szCs w:val="24"/>
          <w:shd w:val="clear" w:color="auto" w:fill="FFFFFF"/>
          <w:lang w:val="en-IE"/>
        </w:rPr>
        <w:t xml:space="preserve"> is quite varied -</w:t>
      </w:r>
      <w:r w:rsidR="008371C1" w:rsidRPr="00BF6C22">
        <w:rPr>
          <w:noProof/>
          <w:szCs w:val="24"/>
          <w:shd w:val="clear" w:color="auto" w:fill="FFFFFF"/>
          <w:lang w:val="en-IE"/>
        </w:rPr>
        <w:t xml:space="preserve"> in particular </w:t>
      </w:r>
      <w:r w:rsidR="003A1415" w:rsidRPr="00BF6C22">
        <w:rPr>
          <w:noProof/>
          <w:szCs w:val="24"/>
          <w:shd w:val="clear" w:color="auto" w:fill="FFFFFF"/>
          <w:lang w:val="en-IE"/>
        </w:rPr>
        <w:t xml:space="preserve">among </w:t>
      </w:r>
      <w:r w:rsidR="008371C1" w:rsidRPr="00BF6C22">
        <w:rPr>
          <w:noProof/>
          <w:szCs w:val="24"/>
          <w:shd w:val="clear" w:color="auto" w:fill="FFFFFF"/>
          <w:lang w:val="en-IE"/>
        </w:rPr>
        <w:t xml:space="preserve">those in the early stages of their careers. </w:t>
      </w:r>
      <w:r w:rsidR="00E85D72" w:rsidRPr="00BF6C22">
        <w:rPr>
          <w:noProof/>
        </w:rPr>
        <w:t xml:space="preserve">Many staff in higher education </w:t>
      </w:r>
      <w:r w:rsidR="00E56D21">
        <w:rPr>
          <w:noProof/>
        </w:rPr>
        <w:t>are employed on</w:t>
      </w:r>
      <w:r w:rsidR="00E85D72" w:rsidRPr="00BF6C22">
        <w:rPr>
          <w:noProof/>
        </w:rPr>
        <w:t xml:space="preserve"> </w:t>
      </w:r>
      <w:r w:rsidR="004926FF" w:rsidRPr="00BF6C22">
        <w:rPr>
          <w:noProof/>
        </w:rPr>
        <w:t xml:space="preserve">short-term </w:t>
      </w:r>
      <w:r w:rsidR="00F33BB4" w:rsidRPr="00BF6C22">
        <w:rPr>
          <w:noProof/>
        </w:rPr>
        <w:t>or</w:t>
      </w:r>
      <w:r w:rsidR="004926FF" w:rsidRPr="00BF6C22">
        <w:rPr>
          <w:noProof/>
        </w:rPr>
        <w:t xml:space="preserve"> </w:t>
      </w:r>
      <w:r w:rsidR="009D417A" w:rsidRPr="00BF6C22">
        <w:rPr>
          <w:noProof/>
        </w:rPr>
        <w:t>precarious</w:t>
      </w:r>
      <w:r w:rsidR="00E85D72" w:rsidRPr="00BF6C22">
        <w:rPr>
          <w:noProof/>
        </w:rPr>
        <w:t xml:space="preserve"> </w:t>
      </w:r>
      <w:r w:rsidR="00E56D21">
        <w:rPr>
          <w:noProof/>
        </w:rPr>
        <w:t>contracts</w:t>
      </w:r>
      <w:r w:rsidR="00F33BB4" w:rsidRPr="00BF6C22">
        <w:rPr>
          <w:rStyle w:val="Allmrkuseviide"/>
          <w:noProof/>
        </w:rPr>
        <w:footnoteReference w:id="18"/>
      </w:r>
      <w:r w:rsidR="00E85D72" w:rsidRPr="00BF6C22">
        <w:rPr>
          <w:noProof/>
        </w:rPr>
        <w:t xml:space="preserve">. While this may offer higher education institutions more flexibility, </w:t>
      </w:r>
      <w:r w:rsidR="000F1A8F" w:rsidRPr="00BF6C22">
        <w:rPr>
          <w:noProof/>
        </w:rPr>
        <w:t xml:space="preserve">it </w:t>
      </w:r>
      <w:r w:rsidR="00E85D72" w:rsidRPr="00BF6C22">
        <w:rPr>
          <w:noProof/>
        </w:rPr>
        <w:t xml:space="preserve">can </w:t>
      </w:r>
      <w:r w:rsidR="00E37560" w:rsidRPr="00BF6C22">
        <w:rPr>
          <w:noProof/>
        </w:rPr>
        <w:t>make</w:t>
      </w:r>
      <w:r w:rsidR="00E85D72" w:rsidRPr="00BF6C22">
        <w:rPr>
          <w:noProof/>
        </w:rPr>
        <w:t xml:space="preserve"> the academic profession</w:t>
      </w:r>
      <w:r w:rsidR="00E37560" w:rsidRPr="00BF6C22">
        <w:rPr>
          <w:noProof/>
        </w:rPr>
        <w:t xml:space="preserve"> less attractive</w:t>
      </w:r>
      <w:r w:rsidR="00E85D72" w:rsidRPr="00BF6C22">
        <w:rPr>
          <w:noProof/>
        </w:rPr>
        <w:t>.</w:t>
      </w:r>
    </w:p>
    <w:p w14:paraId="67098B66" w14:textId="77777777" w:rsidR="001D322F" w:rsidRDefault="00D77764" w:rsidP="001D322F">
      <w:pPr>
        <w:rPr>
          <w:noProof/>
        </w:rPr>
      </w:pPr>
      <w:r w:rsidRPr="00BF6C22">
        <w:rPr>
          <w:noProof/>
          <w:szCs w:val="24"/>
          <w:shd w:val="clear" w:color="auto" w:fill="FFFFFF"/>
          <w:lang w:val="en-IE"/>
        </w:rPr>
        <w:t xml:space="preserve">Aside </w:t>
      </w:r>
      <w:r w:rsidR="006D1B32" w:rsidRPr="00BF6C22">
        <w:rPr>
          <w:noProof/>
          <w:szCs w:val="24"/>
          <w:shd w:val="clear" w:color="auto" w:fill="FFFFFF"/>
          <w:lang w:val="en-IE"/>
        </w:rPr>
        <w:t>from</w:t>
      </w:r>
      <w:r w:rsidRPr="00BF6C22">
        <w:rPr>
          <w:noProof/>
          <w:szCs w:val="24"/>
          <w:shd w:val="clear" w:color="auto" w:fill="FFFFFF"/>
          <w:lang w:val="en-IE"/>
        </w:rPr>
        <w:t xml:space="preserve"> job security and working conditions, </w:t>
      </w:r>
      <w:r w:rsidRPr="00BF6C22">
        <w:rPr>
          <w:noProof/>
        </w:rPr>
        <w:t>t</w:t>
      </w:r>
      <w:r w:rsidR="001D322F" w:rsidRPr="00BF6C22">
        <w:rPr>
          <w:noProof/>
        </w:rPr>
        <w:t xml:space="preserve">he wellbeing of academic and professional services staff </w:t>
      </w:r>
      <w:r w:rsidR="006D1B32" w:rsidRPr="00BF6C22">
        <w:rPr>
          <w:noProof/>
        </w:rPr>
        <w:t>also relies</w:t>
      </w:r>
      <w:r w:rsidR="001D322F" w:rsidRPr="00BF6C22">
        <w:rPr>
          <w:noProof/>
        </w:rPr>
        <w:t xml:space="preserve"> on reassurance that they can</w:t>
      </w:r>
      <w:r w:rsidR="001D322F" w:rsidRPr="009828AB">
        <w:rPr>
          <w:noProof/>
        </w:rPr>
        <w:t xml:space="preserve"> teach without</w:t>
      </w:r>
      <w:r w:rsidR="00564995" w:rsidRPr="009828AB">
        <w:rPr>
          <w:noProof/>
        </w:rPr>
        <w:t xml:space="preserve"> interference or</w:t>
      </w:r>
      <w:r w:rsidR="001D322F" w:rsidRPr="009828AB">
        <w:rPr>
          <w:noProof/>
        </w:rPr>
        <w:t xml:space="preserve"> fear of reprisal. In a recent study, analysing the self-perception of academic freedom by 4,</w:t>
      </w:r>
      <w:r w:rsidR="001D322F" w:rsidRPr="003310EF">
        <w:rPr>
          <w:noProof/>
        </w:rPr>
        <w:t>000 academic staff in EU countries, 45% reported</w:t>
      </w:r>
      <w:r w:rsidR="008A109E" w:rsidRPr="003310EF">
        <w:rPr>
          <w:noProof/>
        </w:rPr>
        <w:t xml:space="preserve"> </w:t>
      </w:r>
      <w:r w:rsidR="001D322F" w:rsidRPr="003310EF">
        <w:rPr>
          <w:noProof/>
        </w:rPr>
        <w:t>an erosion in the protection of academic freedom</w:t>
      </w:r>
      <w:r w:rsidR="001D322F" w:rsidRPr="008108CB">
        <w:rPr>
          <w:rStyle w:val="Allmrkuseviide"/>
          <w:noProof/>
        </w:rPr>
        <w:footnoteReference w:id="19"/>
      </w:r>
      <w:r w:rsidR="001D322F" w:rsidRPr="003310EF">
        <w:rPr>
          <w:noProof/>
        </w:rPr>
        <w:t xml:space="preserve">. Any incidents that could possibly undermine academic freedom </w:t>
      </w:r>
      <w:r w:rsidR="00F21732" w:rsidRPr="003310EF">
        <w:rPr>
          <w:noProof/>
        </w:rPr>
        <w:t>may</w:t>
      </w:r>
      <w:r w:rsidR="001D322F" w:rsidRPr="003310EF">
        <w:rPr>
          <w:noProof/>
        </w:rPr>
        <w:t xml:space="preserve"> hamper academic work, which takes place, by its very nature, in a public space. </w:t>
      </w:r>
      <w:r w:rsidR="00D8151F" w:rsidRPr="003310EF">
        <w:rPr>
          <w:noProof/>
        </w:rPr>
        <w:t>F</w:t>
      </w:r>
      <w:r w:rsidR="001D322F" w:rsidRPr="003310EF">
        <w:rPr>
          <w:noProof/>
        </w:rPr>
        <w:t>ear of persecut</w:t>
      </w:r>
      <w:r w:rsidR="00D8151F" w:rsidRPr="003310EF">
        <w:rPr>
          <w:noProof/>
        </w:rPr>
        <w:t>ion</w:t>
      </w:r>
      <w:r w:rsidR="001D322F" w:rsidRPr="003310EF">
        <w:rPr>
          <w:noProof/>
        </w:rPr>
        <w:t xml:space="preserve"> for one’s </w:t>
      </w:r>
      <w:r w:rsidR="008A109E" w:rsidRPr="003310EF">
        <w:rPr>
          <w:noProof/>
        </w:rPr>
        <w:t xml:space="preserve">scientific </w:t>
      </w:r>
      <w:r w:rsidR="001D322F" w:rsidRPr="003310EF">
        <w:rPr>
          <w:noProof/>
        </w:rPr>
        <w:t>views is</w:t>
      </w:r>
      <w:r w:rsidR="008A109E" w:rsidRPr="003310EF">
        <w:rPr>
          <w:noProof/>
        </w:rPr>
        <w:t xml:space="preserve"> a</w:t>
      </w:r>
      <w:r w:rsidR="00C72612" w:rsidRPr="003310EF">
        <w:rPr>
          <w:noProof/>
        </w:rPr>
        <w:t xml:space="preserve"> </w:t>
      </w:r>
      <w:r w:rsidR="001D322F" w:rsidRPr="003310EF">
        <w:rPr>
          <w:noProof/>
        </w:rPr>
        <w:t>major disincentive to engage in a career in higher education.</w:t>
      </w:r>
    </w:p>
    <w:p w14:paraId="7435B8BE" w14:textId="56CD92D5" w:rsidR="00F4385D" w:rsidRDefault="00F4385D" w:rsidP="00F4385D">
      <w:pPr>
        <w:rPr>
          <w:rFonts w:eastAsia="Yu Mincho"/>
          <w:noProof/>
          <w:lang w:eastAsia="en-GB"/>
        </w:rPr>
      </w:pPr>
      <w:r w:rsidRPr="003310EF">
        <w:rPr>
          <w:noProof/>
        </w:rPr>
        <w:t xml:space="preserve">Europe has </w:t>
      </w:r>
      <w:r w:rsidR="00AD6E1D" w:rsidRPr="003310EF">
        <w:rPr>
          <w:noProof/>
        </w:rPr>
        <w:t xml:space="preserve">a </w:t>
      </w:r>
      <w:r w:rsidRPr="003310EF">
        <w:rPr>
          <w:noProof/>
        </w:rPr>
        <w:t xml:space="preserve">highly accessible higher education </w:t>
      </w:r>
      <w:r w:rsidR="00EE58BF" w:rsidRPr="003310EF">
        <w:rPr>
          <w:noProof/>
        </w:rPr>
        <w:t xml:space="preserve">system </w:t>
      </w:r>
      <w:r w:rsidRPr="003310EF">
        <w:rPr>
          <w:noProof/>
        </w:rPr>
        <w:t xml:space="preserve">compared </w:t>
      </w:r>
      <w:r w:rsidR="00EE58BF" w:rsidRPr="003310EF">
        <w:rPr>
          <w:noProof/>
        </w:rPr>
        <w:t>with</w:t>
      </w:r>
      <w:r w:rsidRPr="003310EF">
        <w:rPr>
          <w:noProof/>
        </w:rPr>
        <w:t xml:space="preserve"> the rest of the world. However, disadvantaged groups are still underrepresented among students, academic</w:t>
      </w:r>
      <w:r w:rsidRPr="003310EF">
        <w:rPr>
          <w:b/>
          <w:noProof/>
        </w:rPr>
        <w:t xml:space="preserve"> </w:t>
      </w:r>
      <w:r w:rsidRPr="003310EF">
        <w:rPr>
          <w:bCs/>
          <w:noProof/>
        </w:rPr>
        <w:t xml:space="preserve">staff and researchers. </w:t>
      </w:r>
      <w:r w:rsidR="00AD6E1D" w:rsidRPr="003310EF">
        <w:rPr>
          <w:bCs/>
          <w:noProof/>
        </w:rPr>
        <w:t>It is important for higher education institutions to create an environment</w:t>
      </w:r>
      <w:r w:rsidR="0076250C" w:rsidRPr="003310EF">
        <w:rPr>
          <w:bCs/>
          <w:noProof/>
        </w:rPr>
        <w:t xml:space="preserve"> where</w:t>
      </w:r>
      <w:r w:rsidR="00AD6E1D" w:rsidRPr="003310EF">
        <w:rPr>
          <w:bCs/>
          <w:noProof/>
        </w:rPr>
        <w:t xml:space="preserve"> talents from disadvantaged groups</w:t>
      </w:r>
      <w:r w:rsidR="00EE5BEE" w:rsidRPr="003310EF">
        <w:rPr>
          <w:bCs/>
          <w:noProof/>
        </w:rPr>
        <w:t xml:space="preserve"> </w:t>
      </w:r>
      <w:r w:rsidR="00C4355B" w:rsidRPr="003310EF">
        <w:rPr>
          <w:bCs/>
          <w:noProof/>
        </w:rPr>
        <w:t xml:space="preserve">stay </w:t>
      </w:r>
      <w:r w:rsidR="00152A06" w:rsidRPr="003310EF">
        <w:rPr>
          <w:bCs/>
          <w:noProof/>
        </w:rPr>
        <w:t xml:space="preserve">in </w:t>
      </w:r>
      <w:r w:rsidR="00D9374F" w:rsidRPr="003310EF">
        <w:rPr>
          <w:bCs/>
          <w:noProof/>
        </w:rPr>
        <w:t>academia and</w:t>
      </w:r>
      <w:r w:rsidR="00C4355B" w:rsidRPr="003310EF">
        <w:rPr>
          <w:bCs/>
          <w:noProof/>
        </w:rPr>
        <w:t xml:space="preserve"> contribute </w:t>
      </w:r>
      <w:r w:rsidR="00152A06" w:rsidRPr="003310EF">
        <w:rPr>
          <w:bCs/>
          <w:noProof/>
        </w:rPr>
        <w:t xml:space="preserve">– </w:t>
      </w:r>
      <w:r w:rsidR="00C4355B" w:rsidRPr="003310EF">
        <w:rPr>
          <w:bCs/>
          <w:noProof/>
        </w:rPr>
        <w:t>with their specific experience</w:t>
      </w:r>
      <w:r w:rsidR="00152A06" w:rsidRPr="003310EF">
        <w:rPr>
          <w:bCs/>
          <w:noProof/>
        </w:rPr>
        <w:t xml:space="preserve"> –</w:t>
      </w:r>
      <w:r w:rsidR="00C4355B" w:rsidRPr="003310EF">
        <w:rPr>
          <w:bCs/>
          <w:noProof/>
        </w:rPr>
        <w:t xml:space="preserve"> </w:t>
      </w:r>
      <w:r w:rsidR="00152A06" w:rsidRPr="003310EF">
        <w:rPr>
          <w:bCs/>
          <w:noProof/>
        </w:rPr>
        <w:t>to</w:t>
      </w:r>
      <w:r w:rsidR="00C4355B" w:rsidRPr="003310EF">
        <w:rPr>
          <w:bCs/>
          <w:noProof/>
        </w:rPr>
        <w:t xml:space="preserve"> high quality academic work</w:t>
      </w:r>
      <w:r w:rsidR="00E75A88" w:rsidRPr="003310EF">
        <w:rPr>
          <w:rStyle w:val="Allmrkuseviide"/>
          <w:bCs/>
          <w:noProof/>
        </w:rPr>
        <w:footnoteReference w:id="20"/>
      </w:r>
      <w:r w:rsidR="00C4355B" w:rsidRPr="003310EF">
        <w:rPr>
          <w:bCs/>
          <w:noProof/>
        </w:rPr>
        <w:t>. Academic</w:t>
      </w:r>
      <w:r w:rsidR="009C2212" w:rsidRPr="003310EF">
        <w:rPr>
          <w:bCs/>
          <w:noProof/>
        </w:rPr>
        <w:t xml:space="preserve"> staff</w:t>
      </w:r>
      <w:r w:rsidR="00C4355B" w:rsidRPr="003310EF">
        <w:rPr>
          <w:bCs/>
          <w:noProof/>
        </w:rPr>
        <w:t xml:space="preserve"> from underrepresented groups may act as role models for disadvantaged students, </w:t>
      </w:r>
      <w:r w:rsidR="008E1451" w:rsidRPr="003310EF">
        <w:rPr>
          <w:bCs/>
          <w:noProof/>
        </w:rPr>
        <w:t xml:space="preserve">which could potentially </w:t>
      </w:r>
      <w:r w:rsidR="00EE58BF" w:rsidRPr="003310EF">
        <w:rPr>
          <w:bCs/>
          <w:noProof/>
        </w:rPr>
        <w:t xml:space="preserve">help </w:t>
      </w:r>
      <w:r w:rsidR="00AD2505" w:rsidRPr="003310EF">
        <w:rPr>
          <w:bCs/>
          <w:noProof/>
        </w:rPr>
        <w:t>to</w:t>
      </w:r>
      <w:r w:rsidR="00C4355B" w:rsidRPr="003310EF">
        <w:rPr>
          <w:bCs/>
          <w:noProof/>
        </w:rPr>
        <w:t xml:space="preserve"> attract diverse talents.</w:t>
      </w:r>
      <w:r w:rsidR="00AF0AAD" w:rsidRPr="003310EF">
        <w:rPr>
          <w:bCs/>
          <w:noProof/>
        </w:rPr>
        <w:t xml:space="preserve"> </w:t>
      </w:r>
      <w:r w:rsidR="001D322F" w:rsidRPr="003310EF">
        <w:rPr>
          <w:bCs/>
          <w:noProof/>
        </w:rPr>
        <w:t>Considering the societal role of academia, it needs to be open</w:t>
      </w:r>
      <w:r w:rsidR="00D92A7D" w:rsidRPr="003310EF">
        <w:rPr>
          <w:bCs/>
          <w:noProof/>
        </w:rPr>
        <w:t xml:space="preserve"> </w:t>
      </w:r>
      <w:r w:rsidR="00D92A7D" w:rsidRPr="003310EF">
        <w:rPr>
          <w:rFonts w:eastAsia="Times New Roman"/>
          <w:noProof/>
          <w:szCs w:val="24"/>
        </w:rPr>
        <w:t>to diversity</w:t>
      </w:r>
      <w:r w:rsidR="001D322F" w:rsidRPr="003310EF">
        <w:rPr>
          <w:bCs/>
          <w:noProof/>
        </w:rPr>
        <w:t xml:space="preserve"> and </w:t>
      </w:r>
      <w:r w:rsidR="001D322F" w:rsidRPr="00DC2E1F">
        <w:rPr>
          <w:bCs/>
          <w:noProof/>
        </w:rPr>
        <w:t>create non-discriminatory</w:t>
      </w:r>
      <w:r w:rsidR="001A3642" w:rsidRPr="00DC2E1F">
        <w:rPr>
          <w:bCs/>
          <w:noProof/>
        </w:rPr>
        <w:t xml:space="preserve"> and safe</w:t>
      </w:r>
      <w:r w:rsidR="001D322F" w:rsidRPr="00DC2E1F">
        <w:rPr>
          <w:bCs/>
          <w:noProof/>
        </w:rPr>
        <w:t xml:space="preserve"> conditions</w:t>
      </w:r>
      <w:r w:rsidR="001A3642" w:rsidRPr="00DC2E1F">
        <w:rPr>
          <w:bCs/>
          <w:noProof/>
        </w:rPr>
        <w:t xml:space="preserve"> to enable all </w:t>
      </w:r>
      <w:r w:rsidR="0082195B" w:rsidRPr="00DC2E1F">
        <w:rPr>
          <w:bCs/>
          <w:noProof/>
        </w:rPr>
        <w:t>staff</w:t>
      </w:r>
      <w:r w:rsidR="001A3642" w:rsidRPr="00DC2E1F">
        <w:rPr>
          <w:bCs/>
          <w:noProof/>
        </w:rPr>
        <w:t xml:space="preserve"> to innovate and teach</w:t>
      </w:r>
      <w:r w:rsidR="001D322F" w:rsidRPr="00DC2E1F">
        <w:rPr>
          <w:bCs/>
          <w:noProof/>
        </w:rPr>
        <w:t>.</w:t>
      </w:r>
      <w:r w:rsidR="001D322F">
        <w:rPr>
          <w:noProof/>
        </w:rPr>
        <w:t xml:space="preserve"> </w:t>
      </w:r>
      <w:r>
        <w:rPr>
          <w:bCs/>
          <w:noProof/>
        </w:rPr>
        <w:t>Lack of inclusive and accessible recruitment, employment and mobility opportunities for persons with disabilities deter them from taking up or maintaining a career in this field. In 2020, six times fewer persons with disabilities than those without worked in the education sector</w:t>
      </w:r>
      <w:r>
        <w:rPr>
          <w:rStyle w:val="Allmrkuseviide"/>
          <w:noProof/>
        </w:rPr>
        <w:footnoteReference w:id="21"/>
      </w:r>
      <w:r>
        <w:rPr>
          <w:bCs/>
          <w:noProof/>
        </w:rPr>
        <w:t>.</w:t>
      </w:r>
      <w:r>
        <w:rPr>
          <w:b/>
          <w:noProof/>
        </w:rPr>
        <w:t xml:space="preserve"> </w:t>
      </w:r>
      <w:r>
        <w:rPr>
          <w:bCs/>
          <w:noProof/>
        </w:rPr>
        <w:t>Evidence</w:t>
      </w:r>
      <w:r w:rsidR="009C37D2" w:rsidRPr="003310EF">
        <w:rPr>
          <w:bCs/>
          <w:noProof/>
        </w:rPr>
        <w:t xml:space="preserve"> </w:t>
      </w:r>
      <w:r w:rsidR="0053083F" w:rsidRPr="003310EF">
        <w:rPr>
          <w:bCs/>
          <w:noProof/>
        </w:rPr>
        <w:t>point</w:t>
      </w:r>
      <w:r w:rsidR="009C37D2" w:rsidRPr="003310EF">
        <w:rPr>
          <w:bCs/>
          <w:noProof/>
        </w:rPr>
        <w:t>s</w:t>
      </w:r>
      <w:r w:rsidR="00C40F20" w:rsidRPr="003310EF">
        <w:rPr>
          <w:bCs/>
          <w:noProof/>
        </w:rPr>
        <w:t xml:space="preserve"> </w:t>
      </w:r>
      <w:r w:rsidR="0053083F" w:rsidRPr="003310EF">
        <w:rPr>
          <w:bCs/>
          <w:noProof/>
        </w:rPr>
        <w:t xml:space="preserve">to </w:t>
      </w:r>
      <w:r w:rsidR="009C37D2" w:rsidRPr="003310EF">
        <w:rPr>
          <w:bCs/>
          <w:noProof/>
        </w:rPr>
        <w:t>p</w:t>
      </w:r>
      <w:r w:rsidR="0053083F" w:rsidRPr="003310EF">
        <w:rPr>
          <w:bCs/>
          <w:noProof/>
        </w:rPr>
        <w:t>ersist</w:t>
      </w:r>
      <w:r w:rsidR="00EE58BF" w:rsidRPr="003310EF">
        <w:rPr>
          <w:bCs/>
          <w:noProof/>
        </w:rPr>
        <w:t>ent</w:t>
      </w:r>
      <w:r w:rsidR="0053083F" w:rsidRPr="003310EF">
        <w:rPr>
          <w:bCs/>
          <w:noProof/>
        </w:rPr>
        <w:t xml:space="preserve"> gender imbalances</w:t>
      </w:r>
      <w:r w:rsidR="0092585A" w:rsidRPr="003310EF">
        <w:rPr>
          <w:bCs/>
          <w:noProof/>
        </w:rPr>
        <w:t>, including contractual inequality</w:t>
      </w:r>
      <w:r w:rsidR="003F6A15" w:rsidRPr="003310EF">
        <w:rPr>
          <w:rStyle w:val="Allmrkuseviide"/>
          <w:rFonts w:eastAsia="Yu Mincho"/>
          <w:bCs/>
          <w:noProof/>
          <w:szCs w:val="20"/>
          <w:lang w:eastAsia="en-GB"/>
        </w:rPr>
        <w:footnoteReference w:id="22"/>
      </w:r>
      <w:r w:rsidR="0053083F" w:rsidRPr="003310EF">
        <w:rPr>
          <w:bCs/>
          <w:noProof/>
        </w:rPr>
        <w:t>.</w:t>
      </w:r>
      <w:r w:rsidR="0053083F" w:rsidRPr="003310EF">
        <w:rPr>
          <w:b/>
          <w:bCs/>
          <w:noProof/>
        </w:rPr>
        <w:t xml:space="preserve"> </w:t>
      </w:r>
      <w:r w:rsidR="0092585A" w:rsidRPr="003310EF">
        <w:rPr>
          <w:noProof/>
        </w:rPr>
        <w:t xml:space="preserve">Women are more </w:t>
      </w:r>
      <w:r w:rsidR="006C0374" w:rsidRPr="003310EF">
        <w:rPr>
          <w:noProof/>
        </w:rPr>
        <w:t xml:space="preserve">often </w:t>
      </w:r>
      <w:r w:rsidR="0092585A" w:rsidRPr="003310EF">
        <w:rPr>
          <w:noProof/>
        </w:rPr>
        <w:t xml:space="preserve">employed on precarious </w:t>
      </w:r>
      <w:r w:rsidR="00CA1914" w:rsidRPr="003310EF">
        <w:rPr>
          <w:noProof/>
        </w:rPr>
        <w:t xml:space="preserve">(9% vs. 7.7% in 2019) </w:t>
      </w:r>
      <w:r w:rsidR="0092585A" w:rsidRPr="003310EF">
        <w:rPr>
          <w:noProof/>
        </w:rPr>
        <w:t xml:space="preserve">and temporary contracts </w:t>
      </w:r>
      <w:r w:rsidR="00CA1914" w:rsidRPr="003310EF">
        <w:rPr>
          <w:noProof/>
        </w:rPr>
        <w:t>(3.9</w:t>
      </w:r>
      <w:r w:rsidR="00564995" w:rsidRPr="003310EF">
        <w:rPr>
          <w:noProof/>
        </w:rPr>
        <w:t xml:space="preserve"> percentage points</w:t>
      </w:r>
      <w:r w:rsidR="00CA1914" w:rsidRPr="003310EF">
        <w:rPr>
          <w:noProof/>
        </w:rPr>
        <w:t xml:space="preserve"> more) </w:t>
      </w:r>
      <w:r w:rsidR="0092585A" w:rsidRPr="003310EF">
        <w:rPr>
          <w:noProof/>
        </w:rPr>
        <w:t>than men.</w:t>
      </w:r>
      <w:r w:rsidR="006C0374" w:rsidRPr="003310EF">
        <w:rPr>
          <w:noProof/>
        </w:rPr>
        <w:t xml:space="preserve"> </w:t>
      </w:r>
      <w:r w:rsidR="0053083F" w:rsidRPr="003310EF">
        <w:rPr>
          <w:noProof/>
          <w:lang w:eastAsia="en-GB"/>
        </w:rPr>
        <w:t xml:space="preserve">Despite progress in recent years, </w:t>
      </w:r>
      <w:r w:rsidR="00AB0A14" w:rsidRPr="003310EF">
        <w:rPr>
          <w:noProof/>
          <w:lang w:eastAsia="en-GB"/>
        </w:rPr>
        <w:t xml:space="preserve">women </w:t>
      </w:r>
      <w:r w:rsidR="00F37C53" w:rsidRPr="003310EF">
        <w:rPr>
          <w:noProof/>
          <w:lang w:eastAsia="en-GB"/>
        </w:rPr>
        <w:t>are</w:t>
      </w:r>
      <w:r w:rsidR="00AB0A14" w:rsidRPr="003310EF">
        <w:rPr>
          <w:noProof/>
          <w:lang w:eastAsia="en-GB"/>
        </w:rPr>
        <w:t xml:space="preserve"> under</w:t>
      </w:r>
      <w:r w:rsidR="009A7646" w:rsidRPr="003310EF">
        <w:rPr>
          <w:noProof/>
          <w:lang w:eastAsia="en-GB"/>
        </w:rPr>
        <w:t>-</w:t>
      </w:r>
      <w:r w:rsidR="00AB0A14" w:rsidRPr="003310EF">
        <w:rPr>
          <w:noProof/>
          <w:lang w:eastAsia="en-GB"/>
        </w:rPr>
        <w:t xml:space="preserve">represented among academic staff </w:t>
      </w:r>
      <w:r w:rsidR="0053083F" w:rsidRPr="003310EF">
        <w:rPr>
          <w:noProof/>
          <w:lang w:eastAsia="en-GB"/>
        </w:rPr>
        <w:t xml:space="preserve">in </w:t>
      </w:r>
      <w:r w:rsidR="004B57DA" w:rsidRPr="003310EF">
        <w:rPr>
          <w:noProof/>
          <w:lang w:eastAsia="en-GB"/>
        </w:rPr>
        <w:t>S</w:t>
      </w:r>
      <w:r w:rsidR="0053083F" w:rsidRPr="003310EF">
        <w:rPr>
          <w:noProof/>
          <w:lang w:eastAsia="en-GB"/>
        </w:rPr>
        <w:t xml:space="preserve">cience, </w:t>
      </w:r>
      <w:r w:rsidR="004B57DA" w:rsidRPr="003310EF">
        <w:rPr>
          <w:noProof/>
          <w:lang w:eastAsia="en-GB"/>
        </w:rPr>
        <w:t>T</w:t>
      </w:r>
      <w:r w:rsidR="0053083F" w:rsidRPr="003310EF">
        <w:rPr>
          <w:noProof/>
          <w:lang w:eastAsia="en-GB"/>
        </w:rPr>
        <w:t xml:space="preserve">echnology, </w:t>
      </w:r>
      <w:r w:rsidR="004B57DA" w:rsidRPr="003310EF">
        <w:rPr>
          <w:noProof/>
          <w:lang w:eastAsia="en-GB"/>
        </w:rPr>
        <w:t>E</w:t>
      </w:r>
      <w:r w:rsidR="0053083F" w:rsidRPr="003310EF">
        <w:rPr>
          <w:noProof/>
          <w:lang w:eastAsia="en-GB"/>
        </w:rPr>
        <w:t xml:space="preserve">ngineering, and </w:t>
      </w:r>
      <w:r w:rsidR="004B57DA" w:rsidRPr="003310EF">
        <w:rPr>
          <w:noProof/>
          <w:lang w:eastAsia="en-GB"/>
        </w:rPr>
        <w:t>M</w:t>
      </w:r>
      <w:r w:rsidR="0053083F" w:rsidRPr="003310EF">
        <w:rPr>
          <w:noProof/>
          <w:lang w:eastAsia="en-GB"/>
        </w:rPr>
        <w:t>athematics (STEM)</w:t>
      </w:r>
      <w:r w:rsidR="00AB0A14" w:rsidRPr="003310EF">
        <w:rPr>
          <w:noProof/>
          <w:lang w:eastAsia="en-GB"/>
        </w:rPr>
        <w:t>,</w:t>
      </w:r>
      <w:r w:rsidR="0053083F" w:rsidRPr="003310EF">
        <w:rPr>
          <w:noProof/>
          <w:lang w:eastAsia="en-GB"/>
        </w:rPr>
        <w:t xml:space="preserve"> and in higher rank positions.</w:t>
      </w:r>
      <w:r w:rsidR="00564995" w:rsidRPr="003310EF">
        <w:rPr>
          <w:noProof/>
          <w:lang w:eastAsia="en-GB"/>
        </w:rPr>
        <w:t xml:space="preserve"> Such gender differences can have a direct influence on the gender pay gap, as STEM fields tend to be associated with higher </w:t>
      </w:r>
      <w:r w:rsidR="00274494" w:rsidRPr="003310EF">
        <w:rPr>
          <w:noProof/>
          <w:lang w:eastAsia="en-GB"/>
        </w:rPr>
        <w:t xml:space="preserve">pay </w:t>
      </w:r>
      <w:r w:rsidR="00564995" w:rsidRPr="003310EF">
        <w:rPr>
          <w:noProof/>
          <w:lang w:eastAsia="en-GB"/>
        </w:rPr>
        <w:t>levels.</w:t>
      </w:r>
      <w:r w:rsidR="00AB0A14" w:rsidRPr="003310EF">
        <w:rPr>
          <w:noProof/>
          <w:lang w:eastAsia="en-GB"/>
        </w:rPr>
        <w:t xml:space="preserve"> </w:t>
      </w:r>
      <w:r w:rsidR="0053083F" w:rsidRPr="003310EF">
        <w:rPr>
          <w:rFonts w:eastAsia="Times New Roman"/>
          <w:noProof/>
          <w:lang w:eastAsia="pt-PT"/>
        </w:rPr>
        <w:t>The average proportion of women holding full professorship</w:t>
      </w:r>
      <w:r w:rsidR="00EE58BF" w:rsidRPr="003310EF">
        <w:rPr>
          <w:rFonts w:eastAsia="Times New Roman"/>
          <w:noProof/>
          <w:lang w:eastAsia="pt-PT"/>
        </w:rPr>
        <w:t>s</w:t>
      </w:r>
      <w:r w:rsidR="0053083F" w:rsidRPr="003310EF">
        <w:rPr>
          <w:rFonts w:eastAsia="Times New Roman"/>
          <w:noProof/>
          <w:lang w:eastAsia="pt-PT"/>
        </w:rPr>
        <w:t xml:space="preserve"> or equivalent positions </w:t>
      </w:r>
      <w:r w:rsidR="00D53DBB" w:rsidRPr="003310EF">
        <w:rPr>
          <w:rFonts w:eastAsia="Times New Roman"/>
          <w:noProof/>
          <w:lang w:eastAsia="pt-PT"/>
        </w:rPr>
        <w:t>is</w:t>
      </w:r>
      <w:r w:rsidR="0053083F" w:rsidRPr="003310EF">
        <w:rPr>
          <w:rFonts w:eastAsia="Times New Roman"/>
          <w:noProof/>
          <w:lang w:eastAsia="pt-PT"/>
        </w:rPr>
        <w:t xml:space="preserve"> 26% in the EU</w:t>
      </w:r>
      <w:r w:rsidR="0053083F" w:rsidRPr="003310EF">
        <w:rPr>
          <w:rFonts w:eastAsia="Yu Mincho"/>
          <w:noProof/>
          <w:lang w:eastAsia="en-GB"/>
        </w:rPr>
        <w:t xml:space="preserve">, </w:t>
      </w:r>
      <w:r w:rsidR="00EE58BF" w:rsidRPr="003310EF">
        <w:rPr>
          <w:rFonts w:eastAsia="Yu Mincho"/>
          <w:noProof/>
          <w:lang w:eastAsia="en-GB"/>
        </w:rPr>
        <w:t xml:space="preserve">and an even </w:t>
      </w:r>
      <w:r w:rsidR="0053083F" w:rsidRPr="003310EF">
        <w:rPr>
          <w:rFonts w:eastAsia="Yu Mincho"/>
          <w:noProof/>
          <w:lang w:eastAsia="en-GB"/>
        </w:rPr>
        <w:t xml:space="preserve">greater gender imbalance </w:t>
      </w:r>
      <w:r w:rsidR="00D53DBB" w:rsidRPr="003310EF">
        <w:rPr>
          <w:rFonts w:eastAsia="Yu Mincho"/>
          <w:noProof/>
          <w:lang w:eastAsia="en-GB"/>
        </w:rPr>
        <w:t>is</w:t>
      </w:r>
      <w:r w:rsidR="0053083F" w:rsidRPr="003310EF">
        <w:rPr>
          <w:rFonts w:eastAsia="Yu Mincho"/>
          <w:noProof/>
          <w:lang w:eastAsia="en-GB"/>
        </w:rPr>
        <w:t xml:space="preserve"> found </w:t>
      </w:r>
      <w:r w:rsidR="00EE58BF" w:rsidRPr="003310EF">
        <w:rPr>
          <w:rFonts w:eastAsia="Yu Mincho"/>
          <w:noProof/>
          <w:lang w:eastAsia="en-GB"/>
        </w:rPr>
        <w:t>in</w:t>
      </w:r>
      <w:r w:rsidR="0053083F" w:rsidRPr="003310EF">
        <w:rPr>
          <w:rFonts w:eastAsia="Yu Mincho"/>
          <w:noProof/>
          <w:lang w:eastAsia="en-GB"/>
        </w:rPr>
        <w:t xml:space="preserve"> governance, </w:t>
      </w:r>
      <w:r w:rsidR="00EE58BF" w:rsidRPr="003310EF">
        <w:rPr>
          <w:rFonts w:eastAsia="Yu Mincho"/>
          <w:noProof/>
          <w:lang w:eastAsia="en-GB"/>
        </w:rPr>
        <w:t>where</w:t>
      </w:r>
      <w:r w:rsidR="0053083F" w:rsidRPr="003310EF">
        <w:rPr>
          <w:rFonts w:eastAsia="Yu Mincho"/>
          <w:noProof/>
          <w:lang w:eastAsia="en-GB"/>
        </w:rPr>
        <w:t xml:space="preserve"> only 24%</w:t>
      </w:r>
      <w:r w:rsidR="000E331C" w:rsidRPr="003310EF">
        <w:rPr>
          <w:rFonts w:eastAsia="Yu Mincho"/>
          <w:noProof/>
          <w:lang w:eastAsia="en-GB"/>
        </w:rPr>
        <w:t xml:space="preserve"> of</w:t>
      </w:r>
      <w:r w:rsidR="0053083F" w:rsidRPr="003310EF">
        <w:rPr>
          <w:rFonts w:eastAsia="Yu Mincho"/>
          <w:noProof/>
          <w:lang w:eastAsia="en-GB"/>
        </w:rPr>
        <w:t xml:space="preserve"> heads of higher education institutions </w:t>
      </w:r>
      <w:r w:rsidR="000E331C" w:rsidRPr="003310EF">
        <w:rPr>
          <w:rFonts w:eastAsia="Yu Mincho"/>
          <w:noProof/>
          <w:lang w:eastAsia="en-GB"/>
        </w:rPr>
        <w:t xml:space="preserve">are </w:t>
      </w:r>
      <w:r w:rsidR="0053083F" w:rsidRPr="003310EF">
        <w:rPr>
          <w:rFonts w:eastAsia="Yu Mincho"/>
          <w:noProof/>
          <w:lang w:eastAsia="en-GB"/>
        </w:rPr>
        <w:t>women.</w:t>
      </w:r>
    </w:p>
    <w:p w14:paraId="4BFD586B" w14:textId="58E062EF" w:rsidR="000F5DC7" w:rsidRPr="00360579" w:rsidRDefault="000F5DC7" w:rsidP="00360579">
      <w:pPr>
        <w:rPr>
          <w:noProof/>
        </w:rPr>
      </w:pPr>
      <w:r w:rsidRPr="00EB34AB">
        <w:rPr>
          <w:noProof/>
        </w:rPr>
        <w:t xml:space="preserve">Improving the working conditions and addressing </w:t>
      </w:r>
      <w:r>
        <w:rPr>
          <w:noProof/>
        </w:rPr>
        <w:t xml:space="preserve">barriers and </w:t>
      </w:r>
      <w:r w:rsidRPr="00EB34AB">
        <w:rPr>
          <w:noProof/>
        </w:rPr>
        <w:t>gender inequalities in academic careers play an important role in promoting competitive, free</w:t>
      </w:r>
      <w:r>
        <w:rPr>
          <w:noProof/>
        </w:rPr>
        <w:t>, inclusive</w:t>
      </w:r>
      <w:r w:rsidR="00B918A1">
        <w:rPr>
          <w:noProof/>
        </w:rPr>
        <w:t>,</w:t>
      </w:r>
      <w:r w:rsidR="00DC2E1F">
        <w:rPr>
          <w:noProof/>
        </w:rPr>
        <w:t xml:space="preserve"> </w:t>
      </w:r>
      <w:r w:rsidRPr="00EB34AB">
        <w:rPr>
          <w:noProof/>
        </w:rPr>
        <w:t>safe, fair and non-discriminatory conditions in academia, a</w:t>
      </w:r>
      <w:r w:rsidR="000400BC" w:rsidRPr="00EB34AB">
        <w:rPr>
          <w:noProof/>
        </w:rPr>
        <w:t>s</w:t>
      </w:r>
      <w:r w:rsidRPr="00EB34AB">
        <w:rPr>
          <w:noProof/>
        </w:rPr>
        <w:t xml:space="preserve"> they are part of the elements needed to increase the </w:t>
      </w:r>
      <w:r w:rsidRPr="00EB34AB">
        <w:rPr>
          <w:noProof/>
        </w:rPr>
        <w:lastRenderedPageBreak/>
        <w:t>attractiveness of higher education institutions for academic staff and foster high quality teaching and transnational cooperation.</w:t>
      </w:r>
    </w:p>
    <w:p w14:paraId="5135E367" w14:textId="77777777" w:rsidR="00302B68" w:rsidRPr="00814C1E" w:rsidRDefault="00823837" w:rsidP="00F94C8B">
      <w:pPr>
        <w:rPr>
          <w:rFonts w:eastAsia="Yu Mincho"/>
          <w:noProof/>
          <w:szCs w:val="20"/>
          <w:lang w:eastAsia="en-GB"/>
        </w:rPr>
      </w:pPr>
      <w:r w:rsidRPr="003310EF">
        <w:rPr>
          <w:rFonts w:eastAsia="Times New Roman"/>
          <w:noProof/>
        </w:rPr>
        <w:t>D</w:t>
      </w:r>
      <w:r w:rsidR="000153E7" w:rsidRPr="003310EF">
        <w:rPr>
          <w:rFonts w:eastAsia="Times New Roman"/>
          <w:noProof/>
          <w:lang w:val="en-IE"/>
        </w:rPr>
        <w:t xml:space="preserve">ata on academic careers </w:t>
      </w:r>
      <w:r w:rsidRPr="003310EF">
        <w:rPr>
          <w:rFonts w:eastAsia="Times New Roman"/>
          <w:noProof/>
          <w:lang w:val="en-IE"/>
        </w:rPr>
        <w:t>is</w:t>
      </w:r>
      <w:r w:rsidR="000153E7" w:rsidRPr="003310EF">
        <w:rPr>
          <w:rFonts w:eastAsia="Times New Roman"/>
          <w:noProof/>
          <w:lang w:val="en-IE"/>
        </w:rPr>
        <w:t xml:space="preserve"> often fragmented, </w:t>
      </w:r>
      <w:r w:rsidRPr="003310EF">
        <w:rPr>
          <w:rFonts w:eastAsia="Times New Roman"/>
          <w:noProof/>
          <w:lang w:val="en-IE"/>
        </w:rPr>
        <w:t>making</w:t>
      </w:r>
      <w:r w:rsidR="000153E7" w:rsidRPr="003310EF">
        <w:rPr>
          <w:rFonts w:eastAsia="Times New Roman"/>
          <w:noProof/>
          <w:lang w:val="en-IE"/>
        </w:rPr>
        <w:t xml:space="preserve"> </w:t>
      </w:r>
      <w:r w:rsidR="00D92A7D" w:rsidRPr="003310EF">
        <w:rPr>
          <w:rFonts w:eastAsia="Times New Roman"/>
          <w:noProof/>
        </w:rPr>
        <w:t>it difficult to analyse certain aspects in depth</w:t>
      </w:r>
      <w:r w:rsidR="000153E7" w:rsidRPr="003310EF">
        <w:rPr>
          <w:rFonts w:eastAsia="Times New Roman"/>
          <w:noProof/>
          <w:lang w:val="en-IE"/>
        </w:rPr>
        <w:t xml:space="preserve">. Work on filling some of the existing data gaps has already begun </w:t>
      </w:r>
      <w:r w:rsidR="00D92A7D" w:rsidRPr="003310EF">
        <w:rPr>
          <w:rFonts w:eastAsia="Times New Roman"/>
          <w:noProof/>
        </w:rPr>
        <w:t xml:space="preserve">as part of the work carried out by </w:t>
      </w:r>
      <w:r w:rsidR="000153E7" w:rsidRPr="003310EF">
        <w:rPr>
          <w:rFonts w:eastAsia="Times New Roman"/>
          <w:noProof/>
          <w:lang w:val="en-IE"/>
        </w:rPr>
        <w:t>the European Higher Education Sector Observatory</w:t>
      </w:r>
      <w:r w:rsidR="00F01795" w:rsidRPr="003310EF">
        <w:rPr>
          <w:rStyle w:val="Allmrkuseviide"/>
          <w:rFonts w:eastAsia="Times New Roman"/>
          <w:noProof/>
          <w:lang w:val="en-IE"/>
        </w:rPr>
        <w:footnoteReference w:id="23"/>
      </w:r>
      <w:r w:rsidR="00564995" w:rsidRPr="003310EF">
        <w:rPr>
          <w:rFonts w:eastAsia="Times New Roman"/>
          <w:noProof/>
          <w:lang w:val="en-IE"/>
        </w:rPr>
        <w:t xml:space="preserve"> and the research careers observatory, to be developed </w:t>
      </w:r>
      <w:r w:rsidR="00D92A7D" w:rsidRPr="003310EF">
        <w:rPr>
          <w:rFonts w:eastAsia="Times New Roman"/>
          <w:noProof/>
          <w:lang w:val="en-IE"/>
        </w:rPr>
        <w:t>within</w:t>
      </w:r>
      <w:r w:rsidR="00564995" w:rsidRPr="003310EF">
        <w:rPr>
          <w:rFonts w:eastAsia="Times New Roman"/>
          <w:noProof/>
          <w:lang w:val="en-IE"/>
        </w:rPr>
        <w:t xml:space="preserve"> the European Research Area to monitor research careers in all sectors</w:t>
      </w:r>
      <w:r w:rsidR="00564995" w:rsidRPr="003310EF">
        <w:rPr>
          <w:rStyle w:val="Allmrkuseviide"/>
          <w:rFonts w:eastAsia="Times New Roman"/>
          <w:noProof/>
          <w:lang w:val="en-IE"/>
        </w:rPr>
        <w:footnoteReference w:id="24"/>
      </w:r>
      <w:r w:rsidR="00AF0AAD" w:rsidRPr="003310EF">
        <w:rPr>
          <w:rFonts w:eastAsia="Times New Roman"/>
          <w:noProof/>
          <w:lang w:val="en-IE"/>
        </w:rPr>
        <w:t>. However,</w:t>
      </w:r>
      <w:r w:rsidR="000153E7" w:rsidRPr="003310EF">
        <w:rPr>
          <w:rFonts w:eastAsia="Times New Roman"/>
          <w:noProof/>
          <w:lang w:val="en-IE"/>
        </w:rPr>
        <w:t xml:space="preserve"> better data collection and integration is needed </w:t>
      </w:r>
      <w:r w:rsidR="000153E7" w:rsidRPr="003310EF">
        <w:rPr>
          <w:noProof/>
          <w:lang w:val="en-IE"/>
        </w:rPr>
        <w:t>to</w:t>
      </w:r>
      <w:r w:rsidR="00564F83" w:rsidRPr="003310EF">
        <w:rPr>
          <w:noProof/>
          <w:lang w:val="en-IE"/>
        </w:rPr>
        <w:t xml:space="preserve"> both</w:t>
      </w:r>
      <w:r w:rsidR="00D92A7D" w:rsidRPr="003310EF">
        <w:rPr>
          <w:noProof/>
          <w:lang w:val="en-IE"/>
        </w:rPr>
        <w:t xml:space="preserve"> </w:t>
      </w:r>
      <w:r w:rsidR="000153E7" w:rsidRPr="003310EF">
        <w:rPr>
          <w:noProof/>
          <w:lang w:val="en-IE"/>
        </w:rPr>
        <w:t xml:space="preserve">monitor the institutional transformation in the EU’s higher education sector and </w:t>
      </w:r>
      <w:r w:rsidR="004C5F16" w:rsidRPr="003310EF">
        <w:rPr>
          <w:noProof/>
          <w:lang w:val="en-IE"/>
        </w:rPr>
        <w:t xml:space="preserve">to </w:t>
      </w:r>
      <w:r w:rsidR="000153E7" w:rsidRPr="003310EF">
        <w:rPr>
          <w:noProof/>
          <w:lang w:val="en-IE"/>
        </w:rPr>
        <w:t>inform policymaking.</w:t>
      </w:r>
    </w:p>
    <w:p w14:paraId="1B61BACA" w14:textId="77777777" w:rsidR="007F34C6" w:rsidRPr="00814C1E" w:rsidRDefault="007F34C6" w:rsidP="00B918A1">
      <w:pPr>
        <w:pStyle w:val="ManualHeading2"/>
        <w:rPr>
          <w:noProof/>
        </w:rPr>
      </w:pPr>
      <w:r>
        <w:rPr>
          <w:noProof/>
        </w:rPr>
        <w:t>1.3.</w:t>
      </w:r>
      <w:r>
        <w:rPr>
          <w:noProof/>
        </w:rPr>
        <w:tab/>
      </w:r>
      <w:r w:rsidRPr="00814C1E">
        <w:rPr>
          <w:noProof/>
        </w:rPr>
        <w:t xml:space="preserve">Objectives pursued by the proposed Council </w:t>
      </w:r>
      <w:r w:rsidR="0089654C">
        <w:rPr>
          <w:noProof/>
        </w:rPr>
        <w:t>re</w:t>
      </w:r>
      <w:r w:rsidRPr="00814C1E">
        <w:rPr>
          <w:noProof/>
        </w:rPr>
        <w:t>commendation</w:t>
      </w:r>
    </w:p>
    <w:p w14:paraId="0F479F18" w14:textId="77777777" w:rsidR="00332179" w:rsidRPr="00814C1E" w:rsidRDefault="28604EAC" w:rsidP="00F94C8B">
      <w:pPr>
        <w:rPr>
          <w:rFonts w:eastAsia="Times New Roman"/>
          <w:noProof/>
          <w:lang w:val="en-IE"/>
        </w:rPr>
      </w:pPr>
      <w:r w:rsidRPr="00814C1E">
        <w:rPr>
          <w:rFonts w:eastAsia="Times New Roman"/>
          <w:noProof/>
          <w:lang w:val="en-IE"/>
        </w:rPr>
        <w:t xml:space="preserve">This Council recommendation </w:t>
      </w:r>
      <w:r w:rsidR="05191D90" w:rsidRPr="00814C1E">
        <w:rPr>
          <w:rFonts w:eastAsia="Times New Roman"/>
          <w:noProof/>
          <w:lang w:val="en-IE"/>
        </w:rPr>
        <w:t xml:space="preserve">aims to </w:t>
      </w:r>
      <w:r w:rsidR="00EB312C" w:rsidRPr="00814C1E">
        <w:rPr>
          <w:rFonts w:eastAsia="Times New Roman"/>
          <w:noProof/>
          <w:lang w:val="en-IE"/>
        </w:rPr>
        <w:t xml:space="preserve">create a common EU-level </w:t>
      </w:r>
      <w:r w:rsidR="74762FBB" w:rsidRPr="00814C1E">
        <w:rPr>
          <w:rFonts w:eastAsia="Times New Roman"/>
          <w:noProof/>
          <w:lang w:val="en-IE"/>
        </w:rPr>
        <w:t>framework</w:t>
      </w:r>
      <w:r w:rsidRPr="00814C1E">
        <w:rPr>
          <w:rFonts w:eastAsia="Times New Roman"/>
          <w:noProof/>
          <w:lang w:val="en-IE"/>
        </w:rPr>
        <w:t xml:space="preserve"> </w:t>
      </w:r>
      <w:r w:rsidR="00C40F20" w:rsidRPr="00814C1E">
        <w:rPr>
          <w:rFonts w:eastAsia="Times New Roman"/>
          <w:noProof/>
          <w:lang w:val="en-IE"/>
        </w:rPr>
        <w:t>on</w:t>
      </w:r>
      <w:r w:rsidR="00EB312C" w:rsidRPr="00814C1E">
        <w:rPr>
          <w:rFonts w:eastAsia="Times New Roman"/>
          <w:noProof/>
          <w:lang w:val="en-IE"/>
        </w:rPr>
        <w:t xml:space="preserve"> </w:t>
      </w:r>
      <w:r w:rsidRPr="00814C1E">
        <w:rPr>
          <w:rFonts w:eastAsia="Times New Roman"/>
          <w:noProof/>
          <w:lang w:val="en-IE"/>
        </w:rPr>
        <w:t xml:space="preserve">attractive, </w:t>
      </w:r>
      <w:r w:rsidR="009C37D2" w:rsidRPr="00814C1E">
        <w:rPr>
          <w:rFonts w:eastAsia="Times New Roman"/>
          <w:noProof/>
          <w:lang w:val="en-IE"/>
        </w:rPr>
        <w:t>inclusive</w:t>
      </w:r>
      <w:r w:rsidRPr="00814C1E">
        <w:rPr>
          <w:rFonts w:eastAsia="Times New Roman"/>
          <w:noProof/>
          <w:lang w:val="en-IE"/>
        </w:rPr>
        <w:t xml:space="preserve"> and sustainable careers in higher education.</w:t>
      </w:r>
      <w:r w:rsidR="0058753D" w:rsidRPr="00814C1E">
        <w:rPr>
          <w:rFonts w:eastAsia="Times New Roman"/>
          <w:noProof/>
          <w:lang w:val="en-IE"/>
        </w:rPr>
        <w:t xml:space="preserve"> </w:t>
      </w:r>
    </w:p>
    <w:bookmarkEnd w:id="5"/>
    <w:p w14:paraId="49AF08AD" w14:textId="77777777" w:rsidR="009F42AB" w:rsidRPr="00814C1E" w:rsidRDefault="00687B11" w:rsidP="00B918A1">
      <w:pPr>
        <w:pStyle w:val="ManualHeading2"/>
        <w:rPr>
          <w:noProof/>
        </w:rPr>
      </w:pPr>
      <w:r>
        <w:rPr>
          <w:noProof/>
        </w:rPr>
        <w:t>1.4.</w:t>
      </w:r>
      <w:r>
        <w:rPr>
          <w:noProof/>
        </w:rPr>
        <w:tab/>
      </w:r>
      <w:r w:rsidRPr="00814C1E">
        <w:rPr>
          <w:noProof/>
        </w:rPr>
        <w:t>Consistency with existing policy provisions in the policy area</w:t>
      </w:r>
    </w:p>
    <w:p w14:paraId="5AECAE16" w14:textId="77777777" w:rsidR="009A2F20" w:rsidRPr="00814C1E" w:rsidRDefault="009A2F20" w:rsidP="009A2F20">
      <w:pPr>
        <w:rPr>
          <w:noProof/>
          <w:szCs w:val="24"/>
          <w:lang w:val="en-IE" w:eastAsia="en-GB"/>
        </w:rPr>
      </w:pPr>
      <w:r w:rsidRPr="00814C1E">
        <w:rPr>
          <w:noProof/>
          <w:lang w:val="en-IE"/>
        </w:rPr>
        <w:t xml:space="preserve">The proposal is a </w:t>
      </w:r>
      <w:r w:rsidRPr="009828AB">
        <w:rPr>
          <w:noProof/>
          <w:lang w:val="en-IE"/>
        </w:rPr>
        <w:t>key deliverable under the European Education Area</w:t>
      </w:r>
      <w:r w:rsidRPr="00814C1E">
        <w:rPr>
          <w:noProof/>
          <w:lang w:val="en-IE"/>
        </w:rPr>
        <w:t xml:space="preserve"> and builds on previous work</w:t>
      </w:r>
      <w:r w:rsidR="00127814">
        <w:rPr>
          <w:noProof/>
          <w:lang w:val="en-IE"/>
        </w:rPr>
        <w:t xml:space="preserve"> </w:t>
      </w:r>
      <w:r w:rsidR="00127814" w:rsidRPr="00FE278C">
        <w:rPr>
          <w:noProof/>
        </w:rPr>
        <w:t>set out in the</w:t>
      </w:r>
      <w:r w:rsidR="00127814">
        <w:rPr>
          <w:noProof/>
        </w:rPr>
        <w:t xml:space="preserve"> below</w:t>
      </w:r>
      <w:r w:rsidR="00127814" w:rsidRPr="00FE278C">
        <w:rPr>
          <w:noProof/>
        </w:rPr>
        <w:t xml:space="preserve"> paragraphs</w:t>
      </w:r>
      <w:r w:rsidR="00335019">
        <w:rPr>
          <w:noProof/>
          <w:lang w:val="en-IE"/>
        </w:rPr>
        <w:t>.</w:t>
      </w:r>
    </w:p>
    <w:p w14:paraId="44DF68A5" w14:textId="77777777" w:rsidR="002D74E6" w:rsidRPr="009828AB" w:rsidRDefault="002D74E6" w:rsidP="002D74E6">
      <w:pPr>
        <w:rPr>
          <w:noProof/>
          <w:szCs w:val="24"/>
          <w:lang w:eastAsia="en-GB"/>
        </w:rPr>
      </w:pPr>
      <w:r w:rsidRPr="009828AB">
        <w:rPr>
          <w:noProof/>
          <w:szCs w:val="24"/>
          <w:lang w:eastAsia="en-GB"/>
        </w:rPr>
        <w:t xml:space="preserve">The Commission </w:t>
      </w:r>
      <w:r w:rsidRPr="003310EF">
        <w:rPr>
          <w:noProof/>
          <w:szCs w:val="24"/>
          <w:lang w:eastAsia="en-GB"/>
        </w:rPr>
        <w:t>Communication on a European strategy for universities</w:t>
      </w:r>
      <w:bookmarkStart w:id="10" w:name="_Hlk161127159"/>
      <w:r w:rsidRPr="003310EF">
        <w:rPr>
          <w:rStyle w:val="Allmrkuseviide"/>
          <w:noProof/>
        </w:rPr>
        <w:footnoteReference w:id="25"/>
      </w:r>
      <w:bookmarkEnd w:id="10"/>
      <w:r w:rsidRPr="003310EF">
        <w:rPr>
          <w:noProof/>
          <w:szCs w:val="24"/>
          <w:lang w:eastAsia="en-GB"/>
        </w:rPr>
        <w:t xml:space="preserve"> highlights the need for </w:t>
      </w:r>
      <w:r w:rsidR="008E1E5D" w:rsidRPr="003310EF">
        <w:rPr>
          <w:noProof/>
          <w:szCs w:val="24"/>
          <w:lang w:eastAsia="en-GB"/>
        </w:rPr>
        <w:t>‘</w:t>
      </w:r>
      <w:r w:rsidRPr="003310EF">
        <w:rPr>
          <w:noProof/>
          <w:szCs w:val="24"/>
          <w:lang w:eastAsia="en-GB"/>
        </w:rPr>
        <w:t>flexible and attractive academic careers in higher education</w:t>
      </w:r>
      <w:r w:rsidR="00104D09" w:rsidRPr="003310EF">
        <w:rPr>
          <w:noProof/>
          <w:szCs w:val="24"/>
          <w:lang w:eastAsia="en-GB"/>
        </w:rPr>
        <w:t>’</w:t>
      </w:r>
      <w:r w:rsidRPr="003310EF">
        <w:rPr>
          <w:noProof/>
          <w:szCs w:val="24"/>
          <w:lang w:eastAsia="en-GB"/>
        </w:rPr>
        <w:t xml:space="preserve">. </w:t>
      </w:r>
      <w:r w:rsidR="009F3303" w:rsidRPr="003310EF">
        <w:rPr>
          <w:noProof/>
          <w:szCs w:val="24"/>
          <w:lang w:eastAsia="en-GB"/>
        </w:rPr>
        <w:t>T</w:t>
      </w:r>
      <w:r w:rsidR="00127814" w:rsidRPr="003310EF">
        <w:rPr>
          <w:noProof/>
          <w:szCs w:val="24"/>
          <w:lang w:eastAsia="en-GB"/>
        </w:rPr>
        <w:t>he</w:t>
      </w:r>
      <w:r w:rsidRPr="003310EF">
        <w:rPr>
          <w:noProof/>
          <w:szCs w:val="24"/>
          <w:lang w:eastAsia="en-GB"/>
        </w:rPr>
        <w:t xml:space="preserve"> </w:t>
      </w:r>
      <w:r w:rsidR="00127814" w:rsidRPr="003310EF">
        <w:rPr>
          <w:noProof/>
          <w:szCs w:val="24"/>
          <w:lang w:eastAsia="en-GB"/>
        </w:rPr>
        <w:t xml:space="preserve">Communication states that </w:t>
      </w:r>
      <w:r w:rsidRPr="003310EF">
        <w:rPr>
          <w:noProof/>
          <w:szCs w:val="24"/>
          <w:lang w:eastAsia="en-GB"/>
        </w:rPr>
        <w:t xml:space="preserve">the </w:t>
      </w:r>
      <w:r w:rsidR="00FD40FD" w:rsidRPr="003310EF">
        <w:rPr>
          <w:noProof/>
          <w:szCs w:val="24"/>
          <w:lang w:eastAsia="en-GB"/>
        </w:rPr>
        <w:t>‘</w:t>
      </w:r>
      <w:r w:rsidRPr="003310EF">
        <w:rPr>
          <w:noProof/>
          <w:szCs w:val="24"/>
          <w:lang w:eastAsia="en-GB"/>
        </w:rPr>
        <w:t>Commission, in close cooperation with the stakeholders and the Member States, will propose a European framework for attractive and sustainable careers in higher education</w:t>
      </w:r>
      <w:r w:rsidR="00FD40FD" w:rsidRPr="003310EF">
        <w:rPr>
          <w:noProof/>
          <w:szCs w:val="24"/>
          <w:lang w:eastAsia="en-GB"/>
        </w:rPr>
        <w:t>’</w:t>
      </w:r>
      <w:r w:rsidRPr="003310EF">
        <w:rPr>
          <w:noProof/>
          <w:szCs w:val="24"/>
          <w:lang w:eastAsia="en-GB"/>
        </w:rPr>
        <w:t xml:space="preserve"> </w:t>
      </w:r>
      <w:r w:rsidR="00FD40FD" w:rsidRPr="003310EF">
        <w:rPr>
          <w:noProof/>
          <w:szCs w:val="24"/>
          <w:lang w:eastAsia="en-GB"/>
        </w:rPr>
        <w:t>‘</w:t>
      </w:r>
      <w:r w:rsidRPr="003310EF">
        <w:rPr>
          <w:noProof/>
          <w:szCs w:val="24"/>
          <w:lang w:eastAsia="en-GB"/>
        </w:rPr>
        <w:t>in synergy with the research career framework developed under the</w:t>
      </w:r>
      <w:r w:rsidR="00BB7D21" w:rsidRPr="003310EF">
        <w:rPr>
          <w:noProof/>
          <w:szCs w:val="24"/>
          <w:lang w:eastAsia="en-GB"/>
        </w:rPr>
        <w:t xml:space="preserve"> European Research Area</w:t>
      </w:r>
      <w:r w:rsidR="00FD40FD" w:rsidRPr="003310EF">
        <w:rPr>
          <w:noProof/>
          <w:szCs w:val="24"/>
          <w:lang w:eastAsia="en-GB"/>
        </w:rPr>
        <w:t>’</w:t>
      </w:r>
      <w:r w:rsidR="00AC2196" w:rsidRPr="003310EF">
        <w:rPr>
          <w:noProof/>
          <w:szCs w:val="24"/>
          <w:lang w:eastAsia="en-GB"/>
        </w:rPr>
        <w:t>. It also</w:t>
      </w:r>
      <w:r w:rsidRPr="003310EF">
        <w:rPr>
          <w:noProof/>
          <w:szCs w:val="24"/>
          <w:lang w:eastAsia="en-GB"/>
        </w:rPr>
        <w:t xml:space="preserve"> calls on Member States </w:t>
      </w:r>
      <w:r w:rsidR="00FD40FD" w:rsidRPr="003310EF">
        <w:rPr>
          <w:noProof/>
          <w:szCs w:val="24"/>
          <w:lang w:eastAsia="en-GB"/>
        </w:rPr>
        <w:t>‘</w:t>
      </w:r>
      <w:r w:rsidRPr="003310EF">
        <w:rPr>
          <w:noProof/>
          <w:szCs w:val="24"/>
          <w:lang w:eastAsia="en-GB"/>
        </w:rPr>
        <w:t xml:space="preserve">to promote parity of esteem between different academic career paths and provide more flexibility for academic careers, beyond </w:t>
      </w:r>
      <w:r w:rsidR="006E6A67" w:rsidRPr="003310EF">
        <w:rPr>
          <w:noProof/>
          <w:szCs w:val="24"/>
          <w:lang w:eastAsia="en-GB"/>
        </w:rPr>
        <w:t>academia</w:t>
      </w:r>
      <w:r w:rsidRPr="003310EF">
        <w:rPr>
          <w:noProof/>
          <w:szCs w:val="24"/>
          <w:lang w:eastAsia="en-GB"/>
        </w:rPr>
        <w:t>.</w:t>
      </w:r>
      <w:r w:rsidRPr="009828AB">
        <w:rPr>
          <w:noProof/>
          <w:szCs w:val="24"/>
          <w:lang w:eastAsia="en-GB"/>
        </w:rPr>
        <w:t xml:space="preserve"> </w:t>
      </w:r>
    </w:p>
    <w:p w14:paraId="49BE55F0" w14:textId="77777777" w:rsidR="009A2F20" w:rsidRPr="003310EF" w:rsidRDefault="00832659" w:rsidP="009A2F20">
      <w:pPr>
        <w:rPr>
          <w:noProof/>
          <w:lang w:val="en-IE"/>
        </w:rPr>
      </w:pPr>
      <w:r w:rsidRPr="009828AB">
        <w:rPr>
          <w:noProof/>
          <w:lang w:val="en-IE"/>
        </w:rPr>
        <w:t>This objective was</w:t>
      </w:r>
      <w:r w:rsidRPr="009828AB">
        <w:rPr>
          <w:noProof/>
          <w:lang w:val="en-IE" w:eastAsia="en-GB"/>
        </w:rPr>
        <w:t xml:space="preserve"> further reiterated in </w:t>
      </w:r>
      <w:r w:rsidR="009A2F20" w:rsidRPr="009828AB">
        <w:rPr>
          <w:noProof/>
          <w:lang w:val="en-IE" w:eastAsia="en-GB"/>
        </w:rPr>
        <w:t xml:space="preserve">the Council Conclusions on a European strategy </w:t>
      </w:r>
      <w:r w:rsidR="009A2F20" w:rsidRPr="003310EF">
        <w:rPr>
          <w:noProof/>
          <w:lang w:val="en-IE" w:eastAsia="en-GB"/>
        </w:rPr>
        <w:t>empowering higher education institutions for the future of Europe</w:t>
      </w:r>
      <w:r w:rsidR="009A2F20" w:rsidRPr="003310EF">
        <w:rPr>
          <w:rStyle w:val="Allmrkuseviide"/>
          <w:noProof/>
          <w:lang w:val="en-IE" w:eastAsia="en-GB"/>
        </w:rPr>
        <w:footnoteReference w:id="26"/>
      </w:r>
      <w:r w:rsidRPr="003310EF">
        <w:rPr>
          <w:noProof/>
          <w:lang w:val="en-IE"/>
        </w:rPr>
        <w:t xml:space="preserve"> which</w:t>
      </w:r>
      <w:r w:rsidR="009A2F20" w:rsidRPr="003310EF">
        <w:rPr>
          <w:noProof/>
          <w:lang w:val="en-IE"/>
        </w:rPr>
        <w:t xml:space="preserve"> </w:t>
      </w:r>
      <w:r w:rsidR="00127814" w:rsidRPr="003310EF">
        <w:rPr>
          <w:noProof/>
          <w:lang w:val="en-IE"/>
        </w:rPr>
        <w:t xml:space="preserve">states </w:t>
      </w:r>
      <w:r w:rsidR="009A2F20" w:rsidRPr="003310EF">
        <w:rPr>
          <w:noProof/>
          <w:lang w:val="en-IE"/>
        </w:rPr>
        <w:t xml:space="preserve">that </w:t>
      </w:r>
      <w:r w:rsidR="00FD40FD" w:rsidRPr="003310EF">
        <w:rPr>
          <w:noProof/>
          <w:lang w:val="en-IE"/>
        </w:rPr>
        <w:t>‘</w:t>
      </w:r>
      <w:r w:rsidR="009A2F20" w:rsidRPr="003310EF">
        <w:rPr>
          <w:noProof/>
          <w:lang w:val="en-IE"/>
        </w:rPr>
        <w:t xml:space="preserve">the full variety of academic activities both within and beyond academia, on all dimensions of higher education institutions’ missions, needs to be </w:t>
      </w:r>
      <w:r w:rsidR="00187111" w:rsidRPr="003310EF">
        <w:rPr>
          <w:noProof/>
          <w:lang w:val="en-IE"/>
        </w:rPr>
        <w:t>considered</w:t>
      </w:r>
      <w:r w:rsidR="009A2F20" w:rsidRPr="003310EF">
        <w:rPr>
          <w:noProof/>
          <w:lang w:val="en-IE"/>
        </w:rPr>
        <w:t xml:space="preserve"> in their career assessments</w:t>
      </w:r>
      <w:r w:rsidR="00FD40FD" w:rsidRPr="003310EF">
        <w:rPr>
          <w:noProof/>
          <w:lang w:val="en-IE"/>
        </w:rPr>
        <w:t>’</w:t>
      </w:r>
      <w:r w:rsidR="009A2F20" w:rsidRPr="003310EF">
        <w:rPr>
          <w:noProof/>
          <w:lang w:val="en-IE"/>
        </w:rPr>
        <w:t xml:space="preserve">. </w:t>
      </w:r>
    </w:p>
    <w:p w14:paraId="25F3A36B" w14:textId="77777777" w:rsidR="009A2F20" w:rsidRPr="009828AB" w:rsidRDefault="00FC7AE8" w:rsidP="009A2F20">
      <w:pPr>
        <w:rPr>
          <w:noProof/>
          <w:lang w:val="en-IE"/>
        </w:rPr>
      </w:pPr>
      <w:r w:rsidRPr="003310EF">
        <w:rPr>
          <w:noProof/>
          <w:lang w:val="en-IE"/>
        </w:rPr>
        <w:t>Th</w:t>
      </w:r>
      <w:r w:rsidR="00EE5105" w:rsidRPr="003310EF">
        <w:rPr>
          <w:noProof/>
          <w:lang w:val="en-IE"/>
        </w:rPr>
        <w:t>is</w:t>
      </w:r>
      <w:r w:rsidRPr="003310EF">
        <w:rPr>
          <w:noProof/>
          <w:lang w:val="en-IE"/>
        </w:rPr>
        <w:t xml:space="preserve"> proposal</w:t>
      </w:r>
      <w:r w:rsidR="00EE5105" w:rsidRPr="003310EF">
        <w:rPr>
          <w:noProof/>
          <w:lang w:val="en-IE"/>
        </w:rPr>
        <w:t xml:space="preserve"> for a Council recommendation</w:t>
      </w:r>
      <w:r w:rsidRPr="003310EF">
        <w:rPr>
          <w:noProof/>
          <w:lang w:val="en-IE"/>
        </w:rPr>
        <w:t xml:space="preserve"> considers</w:t>
      </w:r>
      <w:r w:rsidR="009A2F20" w:rsidRPr="003310EF">
        <w:rPr>
          <w:noProof/>
          <w:lang w:val="en-IE"/>
        </w:rPr>
        <w:t xml:space="preserve"> the experiences of the Marie Skłodowska-Curie Actions, which contribute to these objectives by</w:t>
      </w:r>
      <w:r w:rsidR="00127814" w:rsidRPr="003310EF">
        <w:rPr>
          <w:noProof/>
          <w:lang w:val="en-IE"/>
        </w:rPr>
        <w:t xml:space="preserve"> (i)</w:t>
      </w:r>
      <w:r w:rsidR="009A2F20" w:rsidRPr="003310EF">
        <w:rPr>
          <w:noProof/>
          <w:lang w:val="en-IE"/>
        </w:rPr>
        <w:t xml:space="preserve"> attracting international talent </w:t>
      </w:r>
      <w:r w:rsidR="00F729D9">
        <w:rPr>
          <w:noProof/>
          <w:lang w:val="en-IE"/>
        </w:rPr>
        <w:t>to</w:t>
      </w:r>
      <w:r w:rsidR="009A2F20" w:rsidRPr="003310EF">
        <w:rPr>
          <w:noProof/>
          <w:lang w:val="en-IE"/>
        </w:rPr>
        <w:t xml:space="preserve"> Europe</w:t>
      </w:r>
      <w:r w:rsidR="00127814" w:rsidRPr="003310EF">
        <w:rPr>
          <w:noProof/>
          <w:lang w:val="en-IE"/>
        </w:rPr>
        <w:t>;</w:t>
      </w:r>
      <w:r w:rsidR="009A2F20" w:rsidRPr="003310EF">
        <w:rPr>
          <w:noProof/>
          <w:lang w:val="en-IE"/>
        </w:rPr>
        <w:t xml:space="preserve"> </w:t>
      </w:r>
      <w:r w:rsidR="00127814" w:rsidRPr="003310EF">
        <w:rPr>
          <w:noProof/>
          <w:lang w:val="en-IE"/>
        </w:rPr>
        <w:t xml:space="preserve">(ii) </w:t>
      </w:r>
      <w:r w:rsidR="009A2F20" w:rsidRPr="003310EF">
        <w:rPr>
          <w:noProof/>
          <w:lang w:val="en-IE"/>
        </w:rPr>
        <w:t>promoting attractive working conditions</w:t>
      </w:r>
      <w:r w:rsidR="00127814" w:rsidRPr="009828AB">
        <w:rPr>
          <w:noProof/>
          <w:lang w:val="en-IE"/>
        </w:rPr>
        <w:t>;</w:t>
      </w:r>
      <w:r w:rsidR="009A2F20" w:rsidRPr="009828AB">
        <w:rPr>
          <w:noProof/>
          <w:lang w:val="en-IE"/>
        </w:rPr>
        <w:t xml:space="preserve"> and </w:t>
      </w:r>
      <w:r w:rsidR="00127814" w:rsidRPr="009828AB">
        <w:rPr>
          <w:noProof/>
          <w:lang w:val="en-IE"/>
        </w:rPr>
        <w:t xml:space="preserve">(iii) </w:t>
      </w:r>
      <w:r w:rsidR="009A2F20" w:rsidRPr="009828AB">
        <w:rPr>
          <w:noProof/>
          <w:lang w:val="en-IE"/>
        </w:rPr>
        <w:t xml:space="preserve">supporting training, mobility and career development of researchers and academic staff in </w:t>
      </w:r>
      <w:r w:rsidR="00D9374F" w:rsidRPr="009828AB">
        <w:rPr>
          <w:noProof/>
          <w:lang w:val="en-IE"/>
        </w:rPr>
        <w:t>Europe.</w:t>
      </w:r>
      <w:r w:rsidR="009A2F20" w:rsidRPr="009828AB">
        <w:rPr>
          <w:noProof/>
          <w:lang w:val="en-IE"/>
        </w:rPr>
        <w:t xml:space="preserve"> </w:t>
      </w:r>
    </w:p>
    <w:p w14:paraId="0ED10170" w14:textId="77777777" w:rsidR="009A2F20" w:rsidRPr="009828AB" w:rsidRDefault="00EC319D" w:rsidP="00CA2D0E">
      <w:pPr>
        <w:rPr>
          <w:noProof/>
          <w:lang w:eastAsia="en-GB"/>
        </w:rPr>
      </w:pPr>
      <w:r>
        <w:rPr>
          <w:noProof/>
          <w:lang w:eastAsia="en-GB"/>
        </w:rPr>
        <w:t xml:space="preserve">The </w:t>
      </w:r>
      <w:r w:rsidR="00BF6F0E" w:rsidRPr="009828AB">
        <w:rPr>
          <w:noProof/>
          <w:lang w:eastAsia="en-GB"/>
        </w:rPr>
        <w:t>Council Recommendation on establishing a European Framework to attract and retain research, innovation, and entrepreneurial talents in Europe</w:t>
      </w:r>
      <w:r w:rsidR="00D8074F">
        <w:rPr>
          <w:rStyle w:val="Allmrkuseviide"/>
          <w:noProof/>
          <w:lang w:eastAsia="en-GB"/>
        </w:rPr>
        <w:footnoteReference w:id="27"/>
      </w:r>
      <w:r w:rsidR="00BF6F0E" w:rsidRPr="009828AB">
        <w:rPr>
          <w:noProof/>
          <w:lang w:eastAsia="en-GB"/>
        </w:rPr>
        <w:t xml:space="preserve">, aims at strengthening research careers in all sectors, including by introducing a new European Charter for </w:t>
      </w:r>
      <w:r w:rsidR="00BF6F0E" w:rsidRPr="003310EF">
        <w:rPr>
          <w:noProof/>
          <w:lang w:eastAsia="en-GB"/>
        </w:rPr>
        <w:t xml:space="preserve">Researchers. </w:t>
      </w:r>
      <w:r w:rsidR="00A365DC" w:rsidRPr="003310EF">
        <w:rPr>
          <w:noProof/>
          <w:lang w:eastAsia="en-GB"/>
        </w:rPr>
        <w:t>Both</w:t>
      </w:r>
      <w:r w:rsidR="00BF6F0E" w:rsidRPr="003310EF">
        <w:rPr>
          <w:noProof/>
          <w:lang w:eastAsia="en-GB"/>
        </w:rPr>
        <w:t xml:space="preserve"> </w:t>
      </w:r>
      <w:r w:rsidR="00A365DC" w:rsidRPr="003310EF">
        <w:rPr>
          <w:noProof/>
          <w:lang w:eastAsia="en-GB"/>
        </w:rPr>
        <w:t>the</w:t>
      </w:r>
      <w:r w:rsidR="00BF6F0E" w:rsidRPr="003310EF">
        <w:rPr>
          <w:noProof/>
          <w:lang w:eastAsia="en-GB"/>
        </w:rPr>
        <w:t xml:space="preserve"> framework and </w:t>
      </w:r>
      <w:r w:rsidR="00F729D9">
        <w:rPr>
          <w:noProof/>
          <w:lang w:eastAsia="en-GB"/>
        </w:rPr>
        <w:t xml:space="preserve">the </w:t>
      </w:r>
      <w:r w:rsidR="00BF6F0E" w:rsidRPr="003310EF">
        <w:rPr>
          <w:noProof/>
          <w:lang w:eastAsia="en-GB"/>
        </w:rPr>
        <w:t xml:space="preserve">Charter are in line with the Council Conclusions on ‘Deepening the European Research Area: Providing researchers with attractive and sustainable careers and </w:t>
      </w:r>
      <w:r w:rsidR="00BF6F0E" w:rsidRPr="003310EF">
        <w:rPr>
          <w:noProof/>
          <w:lang w:eastAsia="en-GB"/>
        </w:rPr>
        <w:lastRenderedPageBreak/>
        <w:t>working conditions and making brain circulation a reality’</w:t>
      </w:r>
      <w:r w:rsidR="00BF6F0E" w:rsidRPr="003310EF">
        <w:rPr>
          <w:rStyle w:val="Allmrkuseviide"/>
          <w:noProof/>
        </w:rPr>
        <w:footnoteReference w:id="28"/>
      </w:r>
      <w:r w:rsidR="00E6534F">
        <w:rPr>
          <w:noProof/>
          <w:lang w:eastAsia="en-GB"/>
        </w:rPr>
        <w:t xml:space="preserve"> adopted in </w:t>
      </w:r>
      <w:r w:rsidR="00E6534F" w:rsidRPr="003310EF">
        <w:rPr>
          <w:noProof/>
          <w:lang w:eastAsia="en-GB"/>
        </w:rPr>
        <w:t>May 2021</w:t>
      </w:r>
      <w:r w:rsidR="00BF6F0E" w:rsidRPr="003310EF">
        <w:rPr>
          <w:noProof/>
          <w:lang w:eastAsia="en-GB"/>
        </w:rPr>
        <w:t>, and a key deliverable annexed to the Council Conclusions on the ‘Future governance of the European Research Area’</w:t>
      </w:r>
      <w:r w:rsidR="00BF6F0E" w:rsidRPr="003310EF">
        <w:rPr>
          <w:rStyle w:val="Allmrkuseviide"/>
          <w:noProof/>
          <w:lang w:eastAsia="en-GB"/>
        </w:rPr>
        <w:footnoteReference w:id="29"/>
      </w:r>
      <w:r w:rsidR="00BF6F0E" w:rsidRPr="003310EF">
        <w:rPr>
          <w:noProof/>
          <w:lang w:eastAsia="en-GB"/>
        </w:rPr>
        <w:t>.</w:t>
      </w:r>
      <w:r w:rsidR="002D74E6" w:rsidRPr="003310EF">
        <w:rPr>
          <w:noProof/>
          <w:lang w:eastAsia="en-GB"/>
        </w:rPr>
        <w:t xml:space="preserve"> </w:t>
      </w:r>
    </w:p>
    <w:p w14:paraId="0330D6B2" w14:textId="77777777" w:rsidR="00C40F20" w:rsidRPr="009828AB" w:rsidRDefault="00A00FDD" w:rsidP="00B1039E">
      <w:pPr>
        <w:rPr>
          <w:rFonts w:eastAsia="Times New Roman"/>
          <w:noProof/>
          <w:szCs w:val="24"/>
          <w:lang w:val="en-IE" w:eastAsia="en-IE"/>
        </w:rPr>
      </w:pPr>
      <w:r w:rsidRPr="009828AB">
        <w:rPr>
          <w:rFonts w:eastAsia="Times New Roman"/>
          <w:noProof/>
          <w:szCs w:val="24"/>
          <w:lang w:val="en-IE" w:eastAsia="en-IE"/>
        </w:rPr>
        <w:t>The</w:t>
      </w:r>
      <w:r w:rsidR="00C40F20" w:rsidRPr="009828AB">
        <w:rPr>
          <w:rFonts w:eastAsia="Times New Roman"/>
          <w:noProof/>
          <w:szCs w:val="24"/>
          <w:lang w:val="en-IE" w:eastAsia="en-IE"/>
        </w:rPr>
        <w:t xml:space="preserve"> Commission adopted on 13 November 2023 a proposal for a Council </w:t>
      </w:r>
      <w:r w:rsidR="00127814" w:rsidRPr="009828AB">
        <w:rPr>
          <w:rFonts w:eastAsia="Times New Roman"/>
          <w:noProof/>
          <w:szCs w:val="24"/>
          <w:lang w:val="en-IE" w:eastAsia="en-IE"/>
        </w:rPr>
        <w:t>r</w:t>
      </w:r>
      <w:r w:rsidR="00C40F20" w:rsidRPr="009828AB">
        <w:rPr>
          <w:rFonts w:eastAsia="Times New Roman"/>
          <w:noProof/>
          <w:szCs w:val="24"/>
          <w:lang w:val="en-IE" w:eastAsia="en-IE"/>
        </w:rPr>
        <w:t xml:space="preserve">ecommendation </w:t>
      </w:r>
      <w:r w:rsidR="00A17928" w:rsidRPr="009828AB">
        <w:rPr>
          <w:rFonts w:eastAsia="Times New Roman"/>
          <w:noProof/>
          <w:szCs w:val="24"/>
          <w:lang w:val="en-IE" w:eastAsia="en-IE"/>
        </w:rPr>
        <w:t>‘</w:t>
      </w:r>
      <w:r w:rsidR="00C40F20" w:rsidRPr="009828AB">
        <w:rPr>
          <w:rFonts w:eastAsia="Times New Roman"/>
          <w:noProof/>
          <w:szCs w:val="24"/>
          <w:lang w:val="en-IE" w:eastAsia="en-IE"/>
        </w:rPr>
        <w:t>Europe on the Move – learning mobility opportunities for everyone</w:t>
      </w:r>
      <w:r w:rsidR="005A53CB" w:rsidRPr="009828AB">
        <w:rPr>
          <w:rFonts w:eastAsia="Times New Roman"/>
          <w:noProof/>
          <w:szCs w:val="24"/>
          <w:lang w:val="en-IE" w:eastAsia="en-IE"/>
        </w:rPr>
        <w:t>’</w:t>
      </w:r>
      <w:r w:rsidR="00954732" w:rsidRPr="009828AB">
        <w:rPr>
          <w:rStyle w:val="Allmrkuseviide"/>
          <w:rFonts w:eastAsia="Times New Roman"/>
          <w:noProof/>
          <w:szCs w:val="24"/>
          <w:lang w:val="en-IE" w:eastAsia="en-IE"/>
        </w:rPr>
        <w:footnoteReference w:id="30"/>
      </w:r>
      <w:r w:rsidR="00954732" w:rsidRPr="009828AB">
        <w:rPr>
          <w:rFonts w:eastAsia="Times New Roman"/>
          <w:noProof/>
          <w:szCs w:val="24"/>
          <w:lang w:val="en-IE" w:eastAsia="en-IE"/>
        </w:rPr>
        <w:t xml:space="preserve">. </w:t>
      </w:r>
      <w:r w:rsidR="00127814" w:rsidRPr="009828AB">
        <w:rPr>
          <w:rFonts w:eastAsia="Times New Roman"/>
          <w:noProof/>
          <w:szCs w:val="24"/>
          <w:lang w:eastAsia="en-IE"/>
        </w:rPr>
        <w:t>Th</w:t>
      </w:r>
      <w:r w:rsidR="00B81E10">
        <w:rPr>
          <w:rFonts w:eastAsia="Times New Roman"/>
          <w:noProof/>
          <w:szCs w:val="24"/>
          <w:lang w:eastAsia="en-IE"/>
        </w:rPr>
        <w:t>at</w:t>
      </w:r>
      <w:r w:rsidR="00127814" w:rsidRPr="009828AB">
        <w:rPr>
          <w:rFonts w:eastAsia="Times New Roman"/>
          <w:noProof/>
          <w:szCs w:val="24"/>
          <w:lang w:eastAsia="en-IE"/>
        </w:rPr>
        <w:t xml:space="preserve"> proposed recommendation </w:t>
      </w:r>
      <w:r w:rsidR="00954732" w:rsidRPr="009828AB">
        <w:rPr>
          <w:rFonts w:eastAsia="Times New Roman"/>
          <w:noProof/>
          <w:szCs w:val="24"/>
          <w:lang w:val="en-IE" w:eastAsia="en-IE"/>
        </w:rPr>
        <w:t>aims at providing opportunities</w:t>
      </w:r>
      <w:r w:rsidR="00127814" w:rsidRPr="009828AB">
        <w:rPr>
          <w:rFonts w:eastAsia="Times New Roman"/>
          <w:noProof/>
          <w:szCs w:val="24"/>
          <w:lang w:val="en-IE" w:eastAsia="en-IE"/>
        </w:rPr>
        <w:t xml:space="preserve"> for</w:t>
      </w:r>
      <w:r w:rsidR="00954732" w:rsidRPr="009828AB">
        <w:rPr>
          <w:rFonts w:eastAsia="Times New Roman"/>
          <w:noProof/>
          <w:szCs w:val="24"/>
          <w:lang w:val="en-IE" w:eastAsia="en-IE"/>
        </w:rPr>
        <w:t xml:space="preserve"> </w:t>
      </w:r>
      <w:r w:rsidR="00127814" w:rsidRPr="009828AB">
        <w:rPr>
          <w:rFonts w:eastAsia="Times New Roman"/>
          <w:noProof/>
          <w:szCs w:val="24"/>
          <w:lang w:eastAsia="en-IE"/>
        </w:rPr>
        <w:t xml:space="preserve">educators, staff and </w:t>
      </w:r>
      <w:r w:rsidR="00954732" w:rsidRPr="009828AB">
        <w:rPr>
          <w:rFonts w:eastAsia="Times New Roman"/>
          <w:noProof/>
          <w:szCs w:val="24"/>
          <w:lang w:val="en-IE" w:eastAsia="en-IE"/>
        </w:rPr>
        <w:t>learners at any age</w:t>
      </w:r>
      <w:r w:rsidR="00127814" w:rsidRPr="009828AB">
        <w:rPr>
          <w:rFonts w:eastAsia="Times New Roman"/>
          <w:noProof/>
          <w:szCs w:val="24"/>
          <w:lang w:val="en-IE" w:eastAsia="en-IE"/>
        </w:rPr>
        <w:t xml:space="preserve">. </w:t>
      </w:r>
      <w:r w:rsidR="00954732" w:rsidRPr="009828AB">
        <w:rPr>
          <w:rFonts w:eastAsia="Times New Roman"/>
          <w:noProof/>
          <w:szCs w:val="24"/>
          <w:lang w:val="en-IE" w:eastAsia="en-IE"/>
        </w:rPr>
        <w:t xml:space="preserve"> </w:t>
      </w:r>
    </w:p>
    <w:p w14:paraId="03A91634" w14:textId="77777777" w:rsidR="00B1209D" w:rsidRPr="009828AB" w:rsidRDefault="004B7FC5" w:rsidP="00B1209D">
      <w:pPr>
        <w:pStyle w:val="Normal1"/>
        <w:shd w:val="clear" w:color="auto" w:fill="FFFFFF"/>
        <w:spacing w:before="0" w:beforeAutospacing="0" w:after="0" w:afterAutospacing="0"/>
        <w:jc w:val="both"/>
        <w:rPr>
          <w:noProof/>
        </w:rPr>
      </w:pPr>
      <w:r w:rsidRPr="009828AB">
        <w:rPr>
          <w:noProof/>
          <w:szCs w:val="22"/>
        </w:rPr>
        <w:t xml:space="preserve">The Council Resolution on a strategic framework for European cooperation </w:t>
      </w:r>
      <w:r w:rsidRPr="003310EF">
        <w:rPr>
          <w:noProof/>
          <w:szCs w:val="22"/>
        </w:rPr>
        <w:t>in education and training towards the European Education Area and beyond (2021-2030)</w:t>
      </w:r>
      <w:r w:rsidRPr="003310EF">
        <w:rPr>
          <w:rStyle w:val="Allmrkuseviide"/>
          <w:noProof/>
        </w:rPr>
        <w:footnoteReference w:id="31"/>
      </w:r>
      <w:r w:rsidR="00127814" w:rsidRPr="003310EF">
        <w:rPr>
          <w:noProof/>
          <w:szCs w:val="22"/>
        </w:rPr>
        <w:t>sets</w:t>
      </w:r>
      <w:r w:rsidRPr="003310EF">
        <w:rPr>
          <w:noProof/>
          <w:szCs w:val="22"/>
        </w:rPr>
        <w:t xml:space="preserve"> as </w:t>
      </w:r>
      <w:r w:rsidR="00914BC0" w:rsidRPr="003310EF">
        <w:rPr>
          <w:noProof/>
          <w:szCs w:val="22"/>
        </w:rPr>
        <w:t>a</w:t>
      </w:r>
      <w:r w:rsidRPr="003310EF">
        <w:rPr>
          <w:noProof/>
          <w:szCs w:val="22"/>
        </w:rPr>
        <w:t xml:space="preserve"> priorit</w:t>
      </w:r>
      <w:r w:rsidR="002E6FB3" w:rsidRPr="003310EF">
        <w:rPr>
          <w:noProof/>
          <w:szCs w:val="22"/>
        </w:rPr>
        <w:t>y</w:t>
      </w:r>
      <w:r w:rsidR="00914BC0" w:rsidRPr="003310EF">
        <w:rPr>
          <w:noProof/>
          <w:szCs w:val="22"/>
        </w:rPr>
        <w:t>,</w:t>
      </w:r>
      <w:r w:rsidRPr="003310EF">
        <w:rPr>
          <w:noProof/>
          <w:szCs w:val="22"/>
        </w:rPr>
        <w:t xml:space="preserve"> </w:t>
      </w:r>
      <w:r w:rsidR="00CD275B" w:rsidRPr="003310EF">
        <w:rPr>
          <w:noProof/>
          <w:szCs w:val="22"/>
        </w:rPr>
        <w:t>‘m</w:t>
      </w:r>
      <w:r w:rsidRPr="003310EF">
        <w:rPr>
          <w:noProof/>
          <w:szCs w:val="22"/>
        </w:rPr>
        <w:t>aking lifelong learning and mobility a reality for all</w:t>
      </w:r>
      <w:r w:rsidR="00CD275B" w:rsidRPr="003310EF">
        <w:rPr>
          <w:noProof/>
          <w:szCs w:val="22"/>
        </w:rPr>
        <w:t>’</w:t>
      </w:r>
      <w:r w:rsidRPr="003310EF">
        <w:rPr>
          <w:noProof/>
          <w:szCs w:val="22"/>
        </w:rPr>
        <w:t>.</w:t>
      </w:r>
      <w:r w:rsidRPr="003310EF">
        <w:rPr>
          <w:noProof/>
        </w:rPr>
        <w:t xml:space="preserve"> This priority </w:t>
      </w:r>
      <w:r w:rsidR="00954732" w:rsidRPr="003310EF">
        <w:rPr>
          <w:noProof/>
        </w:rPr>
        <w:t>is</w:t>
      </w:r>
      <w:r w:rsidRPr="003310EF">
        <w:rPr>
          <w:noProof/>
        </w:rPr>
        <w:t xml:space="preserve"> </w:t>
      </w:r>
      <w:r w:rsidR="00127814" w:rsidRPr="003310EF">
        <w:rPr>
          <w:noProof/>
          <w:lang w:val="en-GB"/>
        </w:rPr>
        <w:t>strengthened</w:t>
      </w:r>
      <w:r w:rsidR="00127814" w:rsidRPr="003310EF" w:rsidDel="00127814">
        <w:rPr>
          <w:noProof/>
        </w:rPr>
        <w:t xml:space="preserve"> </w:t>
      </w:r>
      <w:r w:rsidRPr="003310EF">
        <w:rPr>
          <w:noProof/>
        </w:rPr>
        <w:t xml:space="preserve">by </w:t>
      </w:r>
      <w:r w:rsidR="00954732" w:rsidRPr="003310EF">
        <w:rPr>
          <w:noProof/>
        </w:rPr>
        <w:t xml:space="preserve">actions </w:t>
      </w:r>
      <w:r w:rsidRPr="003310EF">
        <w:rPr>
          <w:noProof/>
        </w:rPr>
        <w:t xml:space="preserve">promoting </w:t>
      </w:r>
      <w:r w:rsidR="00CD275B" w:rsidRPr="003310EF">
        <w:rPr>
          <w:noProof/>
        </w:rPr>
        <w:t>‘</w:t>
      </w:r>
      <w:r w:rsidRPr="003310EF">
        <w:rPr>
          <w:noProof/>
        </w:rPr>
        <w:t>a mindset of reskilling and upskilling</w:t>
      </w:r>
      <w:r w:rsidR="00D241DA" w:rsidRPr="003310EF">
        <w:rPr>
          <w:noProof/>
        </w:rPr>
        <w:t xml:space="preserve"> </w:t>
      </w:r>
      <w:r w:rsidR="00D241DA" w:rsidRPr="003310EF">
        <w:rPr>
          <w:noProof/>
          <w:shd w:val="clear" w:color="auto" w:fill="FFFFFF"/>
        </w:rPr>
        <w:t>throughout the Union</w:t>
      </w:r>
      <w:r w:rsidR="00CD275B" w:rsidRPr="003310EF">
        <w:rPr>
          <w:noProof/>
          <w:shd w:val="clear" w:color="auto" w:fill="FFFFFF"/>
        </w:rPr>
        <w:t>’</w:t>
      </w:r>
      <w:r w:rsidR="00D241DA" w:rsidRPr="003310EF">
        <w:rPr>
          <w:rStyle w:val="Allmrkuseviide"/>
          <w:noProof/>
        </w:rPr>
        <w:footnoteReference w:id="32"/>
      </w:r>
      <w:r w:rsidR="00D241DA" w:rsidRPr="003310EF">
        <w:rPr>
          <w:noProof/>
          <w:shd w:val="clear" w:color="auto" w:fill="FFFFFF"/>
        </w:rPr>
        <w:t xml:space="preserve"> during the European Year of Skill</w:t>
      </w:r>
      <w:r w:rsidR="00954732" w:rsidRPr="003310EF">
        <w:rPr>
          <w:noProof/>
          <w:shd w:val="clear" w:color="auto" w:fill="FFFFFF"/>
        </w:rPr>
        <w:t>s</w:t>
      </w:r>
      <w:r w:rsidR="00B1209D" w:rsidRPr="003310EF">
        <w:rPr>
          <w:noProof/>
          <w:shd w:val="clear" w:color="auto" w:fill="FFFFFF"/>
        </w:rPr>
        <w:t xml:space="preserve"> </w:t>
      </w:r>
      <w:r w:rsidR="00B1209D" w:rsidRPr="003310EF">
        <w:rPr>
          <w:noProof/>
        </w:rPr>
        <w:t>2023</w:t>
      </w:r>
      <w:r w:rsidR="000C6DC4" w:rsidRPr="003310EF">
        <w:rPr>
          <w:noProof/>
        </w:rPr>
        <w:t>/</w:t>
      </w:r>
      <w:r w:rsidR="00B1209D" w:rsidRPr="003310EF">
        <w:rPr>
          <w:noProof/>
        </w:rPr>
        <w:t>2024</w:t>
      </w:r>
      <w:r w:rsidR="00954732" w:rsidRPr="003310EF">
        <w:rPr>
          <w:noProof/>
        </w:rPr>
        <w:t xml:space="preserve"> and </w:t>
      </w:r>
      <w:r w:rsidR="00B1209D" w:rsidRPr="003310EF">
        <w:rPr>
          <w:noProof/>
        </w:rPr>
        <w:t>skills policies to match learners’ needs and skill</w:t>
      </w:r>
      <w:r w:rsidR="00BC35BB">
        <w:rPr>
          <w:noProof/>
        </w:rPr>
        <w:t xml:space="preserve"> </w:t>
      </w:r>
      <w:r w:rsidR="00B1209D" w:rsidRPr="003310EF">
        <w:rPr>
          <w:noProof/>
        </w:rPr>
        <w:t>set</w:t>
      </w:r>
      <w:r w:rsidR="00C40F20" w:rsidRPr="003310EF">
        <w:rPr>
          <w:noProof/>
        </w:rPr>
        <w:t>s</w:t>
      </w:r>
      <w:r w:rsidR="00B1209D" w:rsidRPr="003310EF">
        <w:rPr>
          <w:noProof/>
        </w:rPr>
        <w:t xml:space="preserve"> </w:t>
      </w:r>
      <w:r w:rsidR="00127814" w:rsidRPr="003310EF">
        <w:rPr>
          <w:noProof/>
        </w:rPr>
        <w:t>(</w:t>
      </w:r>
      <w:r w:rsidR="00B1209D" w:rsidRPr="003310EF">
        <w:rPr>
          <w:noProof/>
        </w:rPr>
        <w:t xml:space="preserve">including </w:t>
      </w:r>
      <w:r w:rsidR="007B47E0" w:rsidRPr="003310EF">
        <w:rPr>
          <w:noProof/>
        </w:rPr>
        <w:t>those</w:t>
      </w:r>
      <w:r w:rsidR="00B1209D" w:rsidRPr="003310EF">
        <w:rPr>
          <w:noProof/>
        </w:rPr>
        <w:t xml:space="preserve"> acquired during mobility</w:t>
      </w:r>
      <w:r w:rsidR="00127814" w:rsidRPr="003310EF">
        <w:rPr>
          <w:noProof/>
        </w:rPr>
        <w:t>)</w:t>
      </w:r>
      <w:r w:rsidR="00B1209D" w:rsidRPr="003310EF">
        <w:rPr>
          <w:noProof/>
        </w:rPr>
        <w:t xml:space="preserve"> with labour market opportunities.</w:t>
      </w:r>
    </w:p>
    <w:p w14:paraId="08C56A77" w14:textId="77777777" w:rsidR="003B76BB" w:rsidRPr="003310EF" w:rsidRDefault="00EB34AB" w:rsidP="003B76BB">
      <w:pPr>
        <w:rPr>
          <w:noProof/>
        </w:rPr>
      </w:pPr>
      <w:bookmarkStart w:id="11" w:name="_Hlk156232158"/>
      <w:r>
        <w:rPr>
          <w:noProof/>
        </w:rPr>
        <w:t xml:space="preserve">The </w:t>
      </w:r>
      <w:r w:rsidR="003B76BB" w:rsidRPr="003310EF">
        <w:rPr>
          <w:noProof/>
        </w:rPr>
        <w:t xml:space="preserve">Council Recommendation </w:t>
      </w:r>
      <w:r w:rsidR="00B81E10" w:rsidRPr="00B81E10">
        <w:rPr>
          <w:noProof/>
        </w:rPr>
        <w:t xml:space="preserve">of 23 November 2023 </w:t>
      </w:r>
      <w:r w:rsidR="003B76BB" w:rsidRPr="003310EF">
        <w:rPr>
          <w:noProof/>
        </w:rPr>
        <w:t>on improving the provision of digital skills and competences in education and training</w:t>
      </w:r>
      <w:r w:rsidR="00EE7AFA">
        <w:rPr>
          <w:rStyle w:val="Allmrkuseviide"/>
          <w:noProof/>
        </w:rPr>
        <w:footnoteReference w:id="33"/>
      </w:r>
      <w:r w:rsidR="003B76BB" w:rsidRPr="003310EF">
        <w:rPr>
          <w:noProof/>
        </w:rPr>
        <w:t xml:space="preserve"> calls </w:t>
      </w:r>
      <w:r w:rsidR="00DB423B" w:rsidRPr="003310EF">
        <w:rPr>
          <w:noProof/>
        </w:rPr>
        <w:t xml:space="preserve">on </w:t>
      </w:r>
      <w:r w:rsidR="003B76BB" w:rsidRPr="003310EF">
        <w:rPr>
          <w:noProof/>
        </w:rPr>
        <w:t xml:space="preserve">Member States to </w:t>
      </w:r>
      <w:r w:rsidR="00FD40FD" w:rsidRPr="003310EF">
        <w:rPr>
          <w:noProof/>
        </w:rPr>
        <w:t>‘</w:t>
      </w:r>
      <w:r w:rsidR="003B76BB" w:rsidRPr="003310EF">
        <w:rPr>
          <w:noProof/>
        </w:rPr>
        <w:t>continue to improve measures to recruit and train teachers with expertise in the areas of (….)</w:t>
      </w:r>
      <w:r w:rsidR="00997A48" w:rsidRPr="003310EF">
        <w:rPr>
          <w:noProof/>
        </w:rPr>
        <w:t xml:space="preserve"> </w:t>
      </w:r>
      <w:r w:rsidR="003B76BB" w:rsidRPr="003310EF">
        <w:rPr>
          <w:noProof/>
        </w:rPr>
        <w:t>advanced digital technologies in higher education, while acknowledging their need for a varied range of pedagogical and didactic skills</w:t>
      </w:r>
      <w:r w:rsidR="00FD40FD" w:rsidRPr="003310EF">
        <w:rPr>
          <w:noProof/>
        </w:rPr>
        <w:t>’</w:t>
      </w:r>
      <w:r w:rsidR="003B76BB" w:rsidRPr="003310EF">
        <w:rPr>
          <w:noProof/>
        </w:rPr>
        <w:t>.</w:t>
      </w:r>
    </w:p>
    <w:bookmarkEnd w:id="11"/>
    <w:p w14:paraId="189209BA" w14:textId="77777777" w:rsidR="00687B11" w:rsidRPr="003310EF" w:rsidRDefault="00687B11" w:rsidP="00B918A1">
      <w:pPr>
        <w:pStyle w:val="ManualHeading2"/>
        <w:rPr>
          <w:noProof/>
        </w:rPr>
      </w:pPr>
      <w:r>
        <w:rPr>
          <w:noProof/>
        </w:rPr>
        <w:t>1.5.</w:t>
      </w:r>
      <w:r>
        <w:rPr>
          <w:noProof/>
        </w:rPr>
        <w:tab/>
      </w:r>
      <w:r w:rsidRPr="003310EF">
        <w:rPr>
          <w:noProof/>
        </w:rPr>
        <w:t>Consistency with other Union policies</w:t>
      </w:r>
    </w:p>
    <w:p w14:paraId="358BD920" w14:textId="77777777" w:rsidR="0058753D" w:rsidRPr="003310EF" w:rsidRDefault="0058753D">
      <w:pPr>
        <w:rPr>
          <w:noProof/>
        </w:rPr>
      </w:pPr>
      <w:r w:rsidRPr="003310EF">
        <w:rPr>
          <w:noProof/>
        </w:rPr>
        <w:t>By strengthening high</w:t>
      </w:r>
      <w:r w:rsidR="00F758A5" w:rsidRPr="003310EF">
        <w:rPr>
          <w:noProof/>
        </w:rPr>
        <w:t>er</w:t>
      </w:r>
      <w:r w:rsidRPr="003310EF">
        <w:rPr>
          <w:noProof/>
        </w:rPr>
        <w:t xml:space="preserve"> education, t</w:t>
      </w:r>
      <w:r w:rsidR="07724F66" w:rsidRPr="003310EF">
        <w:rPr>
          <w:noProof/>
        </w:rPr>
        <w:t xml:space="preserve">his </w:t>
      </w:r>
      <w:r w:rsidR="00954732" w:rsidRPr="003310EF">
        <w:rPr>
          <w:noProof/>
        </w:rPr>
        <w:t xml:space="preserve">proposal for a </w:t>
      </w:r>
      <w:r w:rsidR="360856B0" w:rsidRPr="003310EF">
        <w:rPr>
          <w:noProof/>
        </w:rPr>
        <w:t>C</w:t>
      </w:r>
      <w:r w:rsidR="07724F66" w:rsidRPr="003310EF">
        <w:rPr>
          <w:noProof/>
        </w:rPr>
        <w:t xml:space="preserve">ouncil </w:t>
      </w:r>
      <w:r w:rsidR="00954732" w:rsidRPr="003310EF">
        <w:rPr>
          <w:noProof/>
        </w:rPr>
        <w:t>r</w:t>
      </w:r>
      <w:r w:rsidR="07724F66" w:rsidRPr="003310EF">
        <w:rPr>
          <w:noProof/>
        </w:rPr>
        <w:t>eco</w:t>
      </w:r>
      <w:r w:rsidR="09261540" w:rsidRPr="003310EF">
        <w:rPr>
          <w:noProof/>
        </w:rPr>
        <w:t xml:space="preserve">mmendation </w:t>
      </w:r>
      <w:r w:rsidR="0088389F" w:rsidRPr="003310EF">
        <w:rPr>
          <w:noProof/>
        </w:rPr>
        <w:t>contributes</w:t>
      </w:r>
      <w:r w:rsidRPr="003310EF">
        <w:rPr>
          <w:noProof/>
        </w:rPr>
        <w:t xml:space="preserve"> to Europe’s efforts to invest in people and their skills, laying the foundation for sustained growth</w:t>
      </w:r>
      <w:r w:rsidR="00B67157" w:rsidRPr="003310EF">
        <w:rPr>
          <w:noProof/>
        </w:rPr>
        <w:t xml:space="preserve">, competitiveness and high employment, in line with the European Semester. </w:t>
      </w:r>
    </w:p>
    <w:p w14:paraId="5115682E" w14:textId="77777777" w:rsidR="009A2D06" w:rsidRPr="00732E7E" w:rsidRDefault="00F758A5" w:rsidP="3B9FFA42">
      <w:pPr>
        <w:rPr>
          <w:noProof/>
        </w:rPr>
      </w:pPr>
      <w:r w:rsidRPr="003310EF">
        <w:rPr>
          <w:noProof/>
        </w:rPr>
        <w:t xml:space="preserve">It </w:t>
      </w:r>
      <w:r w:rsidR="00954732" w:rsidRPr="003310EF">
        <w:rPr>
          <w:noProof/>
        </w:rPr>
        <w:t xml:space="preserve">is also consistent with the </w:t>
      </w:r>
      <w:r w:rsidR="001A36C6" w:rsidRPr="003310EF">
        <w:rPr>
          <w:noProof/>
        </w:rPr>
        <w:t>European Pillar of Social Rights</w:t>
      </w:r>
      <w:r w:rsidR="00774E17" w:rsidRPr="003310EF">
        <w:rPr>
          <w:rStyle w:val="Allmrkuseviide"/>
          <w:noProof/>
        </w:rPr>
        <w:footnoteReference w:id="34"/>
      </w:r>
      <w:r w:rsidR="00954732" w:rsidRPr="003310EF">
        <w:rPr>
          <w:noProof/>
        </w:rPr>
        <w:t xml:space="preserve">, </w:t>
      </w:r>
      <w:r w:rsidR="5A5752BA" w:rsidRPr="003310EF">
        <w:rPr>
          <w:noProof/>
        </w:rPr>
        <w:t>which set</w:t>
      </w:r>
      <w:r w:rsidR="00954732" w:rsidRPr="003310EF">
        <w:rPr>
          <w:noProof/>
        </w:rPr>
        <w:t>s</w:t>
      </w:r>
      <w:r w:rsidR="5A5752BA" w:rsidRPr="003310EF">
        <w:rPr>
          <w:noProof/>
        </w:rPr>
        <w:t xml:space="preserve"> </w:t>
      </w:r>
      <w:r w:rsidR="16C4CA28" w:rsidRPr="003310EF">
        <w:rPr>
          <w:noProof/>
        </w:rPr>
        <w:t>out</w:t>
      </w:r>
      <w:r w:rsidR="360856B0" w:rsidRPr="003310EF">
        <w:rPr>
          <w:noProof/>
        </w:rPr>
        <w:t xml:space="preserve"> </w:t>
      </w:r>
      <w:r w:rsidR="42022060" w:rsidRPr="003310EF">
        <w:rPr>
          <w:noProof/>
        </w:rPr>
        <w:t xml:space="preserve">essential principles and rights </w:t>
      </w:r>
      <w:r w:rsidR="00160309" w:rsidRPr="003310EF">
        <w:rPr>
          <w:noProof/>
        </w:rPr>
        <w:t>relating to equal opportunities and access to the labour market, fair working conditions and social protection and inclusion</w:t>
      </w:r>
      <w:r w:rsidR="00E41117" w:rsidRPr="003310EF">
        <w:rPr>
          <w:noProof/>
        </w:rPr>
        <w:t xml:space="preserve">, and the </w:t>
      </w:r>
      <w:r w:rsidR="00A57721" w:rsidRPr="003310EF">
        <w:rPr>
          <w:noProof/>
        </w:rPr>
        <w:t xml:space="preserve">November 2019 </w:t>
      </w:r>
      <w:r w:rsidR="00E41117" w:rsidRPr="003310EF">
        <w:rPr>
          <w:noProof/>
        </w:rPr>
        <w:t>Council Recommendation on ‘Access to social protection for workers and the self-employed’</w:t>
      </w:r>
      <w:r w:rsidR="00E41117">
        <w:rPr>
          <w:rStyle w:val="Allmrkuseviide"/>
          <w:noProof/>
        </w:rPr>
        <w:footnoteReference w:id="35"/>
      </w:r>
      <w:r w:rsidR="360856B0" w:rsidRPr="00814C1E">
        <w:rPr>
          <w:noProof/>
        </w:rPr>
        <w:t xml:space="preserve">. </w:t>
      </w:r>
      <w:r w:rsidR="4C18AC7B" w:rsidRPr="00732E7E">
        <w:rPr>
          <w:noProof/>
        </w:rPr>
        <w:t xml:space="preserve"> </w:t>
      </w:r>
      <w:r w:rsidR="00CD273B" w:rsidRPr="00732E7E">
        <w:rPr>
          <w:noProof/>
        </w:rPr>
        <w:t xml:space="preserve"> </w:t>
      </w:r>
    </w:p>
    <w:p w14:paraId="3D4A9875" w14:textId="77777777" w:rsidR="00687B11" w:rsidRPr="00814C1E" w:rsidRDefault="00687B11" w:rsidP="00B918A1">
      <w:pPr>
        <w:pStyle w:val="ManualHeading1"/>
        <w:rPr>
          <w:noProof/>
        </w:rPr>
      </w:pPr>
      <w:r>
        <w:rPr>
          <w:noProof/>
        </w:rPr>
        <w:t>2.</w:t>
      </w:r>
      <w:r>
        <w:rPr>
          <w:noProof/>
        </w:rPr>
        <w:tab/>
      </w:r>
      <w:r w:rsidRPr="00814C1E">
        <w:rPr>
          <w:noProof/>
        </w:rPr>
        <w:t>LEGAL BASIS, SUBSIDIARITY AND PROPORTIONALITY</w:t>
      </w:r>
    </w:p>
    <w:p w14:paraId="71C7A1FC" w14:textId="77777777" w:rsidR="00687B11" w:rsidRPr="00814C1E" w:rsidRDefault="00687B11" w:rsidP="00B918A1">
      <w:pPr>
        <w:pStyle w:val="ManualHeading2"/>
        <w:rPr>
          <w:noProof/>
          <w:u w:color="000000"/>
          <w:bdr w:val="nil"/>
          <w:lang w:val="en-US" w:eastAsia="en-GB"/>
        </w:rPr>
      </w:pPr>
      <w:r>
        <w:rPr>
          <w:noProof/>
        </w:rPr>
        <w:t>2.1.</w:t>
      </w:r>
      <w:r>
        <w:rPr>
          <w:noProof/>
        </w:rPr>
        <w:tab/>
      </w:r>
      <w:r w:rsidRPr="00814C1E">
        <w:rPr>
          <w:noProof/>
          <w:u w:color="000000"/>
          <w:bdr w:val="nil"/>
          <w:lang w:val="en-US" w:eastAsia="en-GB"/>
        </w:rPr>
        <w:t>Legal basis</w:t>
      </w:r>
    </w:p>
    <w:p w14:paraId="129E2674" w14:textId="2786E15A" w:rsidR="00801AD2" w:rsidRPr="00814C1E" w:rsidRDefault="2727BED0" w:rsidP="00867CCC">
      <w:pPr>
        <w:pBdr>
          <w:top w:val="nil"/>
          <w:left w:val="nil"/>
          <w:bottom w:val="nil"/>
          <w:right w:val="nil"/>
          <w:between w:val="nil"/>
          <w:bar w:val="nil"/>
        </w:pBdr>
        <w:spacing w:before="0"/>
        <w:rPr>
          <w:rFonts w:eastAsia="Arial Unicode MS"/>
          <w:noProof/>
        </w:rPr>
      </w:pPr>
      <w:r w:rsidRPr="00814C1E">
        <w:rPr>
          <w:noProof/>
        </w:rPr>
        <w:t>Th</w:t>
      </w:r>
      <w:r w:rsidR="00522982">
        <w:rPr>
          <w:noProof/>
        </w:rPr>
        <w:t xml:space="preserve">e proposal </w:t>
      </w:r>
      <w:r w:rsidRPr="00814C1E">
        <w:rPr>
          <w:noProof/>
        </w:rPr>
        <w:t>is based on Articles 165</w:t>
      </w:r>
      <w:r w:rsidR="00B30AF9">
        <w:rPr>
          <w:noProof/>
        </w:rPr>
        <w:t>(4</w:t>
      </w:r>
      <w:r>
        <w:rPr>
          <w:noProof/>
        </w:rPr>
        <w:t>)</w:t>
      </w:r>
      <w:r w:rsidR="00B30AF9">
        <w:rPr>
          <w:noProof/>
        </w:rPr>
        <w:t xml:space="preserve"> </w:t>
      </w:r>
      <w:r w:rsidRPr="00814C1E">
        <w:rPr>
          <w:noProof/>
        </w:rPr>
        <w:t>and 166</w:t>
      </w:r>
      <w:r w:rsidR="00B30AF9">
        <w:rPr>
          <w:noProof/>
        </w:rPr>
        <w:t>(4)</w:t>
      </w:r>
      <w:r w:rsidRPr="00814C1E">
        <w:rPr>
          <w:noProof/>
        </w:rPr>
        <w:t xml:space="preserve"> of the Treaty on the Functioning of the European Union (TFEU). Article 165(1) of the TFEU lays down that the </w:t>
      </w:r>
      <w:r w:rsidR="000A7B5C">
        <w:rPr>
          <w:noProof/>
        </w:rPr>
        <w:t>Union</w:t>
      </w:r>
      <w:r w:rsidR="000A7B5C" w:rsidRPr="00814C1E">
        <w:rPr>
          <w:noProof/>
        </w:rPr>
        <w:t xml:space="preserve"> </w:t>
      </w:r>
      <w:r w:rsidRPr="00814C1E">
        <w:rPr>
          <w:noProof/>
        </w:rPr>
        <w:t xml:space="preserve">is to </w:t>
      </w:r>
      <w:r w:rsidR="00FD40FD" w:rsidRPr="00814C1E">
        <w:rPr>
          <w:noProof/>
        </w:rPr>
        <w:t>‘</w:t>
      </w:r>
      <w:r w:rsidRPr="00814C1E">
        <w:rPr>
          <w:noProof/>
        </w:rPr>
        <w:t xml:space="preserve">contribute to the development of quality education by encouraging cooperation between </w:t>
      </w:r>
      <w:r w:rsidRPr="00814C1E">
        <w:rPr>
          <w:noProof/>
        </w:rPr>
        <w:lastRenderedPageBreak/>
        <w:t>Member States and, if necessary, by supporting and supplementing their action, while fully respecting the responsibility of the Member States for the content of teaching and the organisation of their education systems</w:t>
      </w:r>
      <w:r w:rsidR="00FD40FD" w:rsidRPr="00814C1E">
        <w:rPr>
          <w:noProof/>
        </w:rPr>
        <w:t>’</w:t>
      </w:r>
      <w:r w:rsidRPr="00814C1E">
        <w:rPr>
          <w:noProof/>
        </w:rPr>
        <w:t xml:space="preserve">. Article 165(2) of the TFEU further specifies that </w:t>
      </w:r>
      <w:r w:rsidR="000A7B5C">
        <w:rPr>
          <w:noProof/>
        </w:rPr>
        <w:t xml:space="preserve">Union </w:t>
      </w:r>
      <w:r w:rsidRPr="00814C1E">
        <w:rPr>
          <w:noProof/>
        </w:rPr>
        <w:t xml:space="preserve">action in education is aimed at </w:t>
      </w:r>
      <w:r w:rsidR="00FD40FD" w:rsidRPr="00814C1E">
        <w:rPr>
          <w:noProof/>
        </w:rPr>
        <w:t>‘</w:t>
      </w:r>
      <w:r w:rsidRPr="00814C1E">
        <w:rPr>
          <w:noProof/>
        </w:rPr>
        <w:t>promoting cooperation between educational establishments</w:t>
      </w:r>
      <w:r w:rsidR="00FD40FD" w:rsidRPr="00814C1E">
        <w:rPr>
          <w:noProof/>
        </w:rPr>
        <w:t>’</w:t>
      </w:r>
      <w:r w:rsidRPr="00814C1E">
        <w:rPr>
          <w:noProof/>
        </w:rPr>
        <w:t xml:space="preserve"> and </w:t>
      </w:r>
      <w:r w:rsidR="00FD40FD" w:rsidRPr="00814C1E">
        <w:rPr>
          <w:noProof/>
        </w:rPr>
        <w:t>‘</w:t>
      </w:r>
      <w:r w:rsidRPr="00814C1E">
        <w:rPr>
          <w:noProof/>
        </w:rPr>
        <w:t xml:space="preserve">at encouraging mobility of students and teachers. </w:t>
      </w:r>
    </w:p>
    <w:p w14:paraId="5835E4D0" w14:textId="7C8009B7" w:rsidR="00E064D9" w:rsidRDefault="2727BED0" w:rsidP="00786BFD">
      <w:pPr>
        <w:pBdr>
          <w:top w:val="nil"/>
          <w:left w:val="nil"/>
          <w:bottom w:val="nil"/>
          <w:right w:val="nil"/>
          <w:between w:val="nil"/>
          <w:bar w:val="nil"/>
        </w:pBdr>
        <w:spacing w:before="0"/>
        <w:rPr>
          <w:noProof/>
        </w:rPr>
      </w:pPr>
      <w:r w:rsidRPr="00814C1E">
        <w:rPr>
          <w:noProof/>
        </w:rPr>
        <w:t xml:space="preserve">Article 166(1) of the TFEU stipulates that the Union shall implement a vocational training policy. Article 166(2) of the TFEU </w:t>
      </w:r>
      <w:r w:rsidR="00127814">
        <w:rPr>
          <w:noProof/>
        </w:rPr>
        <w:t>states</w:t>
      </w:r>
      <w:r w:rsidR="00127814" w:rsidRPr="00814C1E">
        <w:rPr>
          <w:noProof/>
        </w:rPr>
        <w:t xml:space="preserve"> </w:t>
      </w:r>
      <w:r w:rsidRPr="00814C1E">
        <w:rPr>
          <w:noProof/>
        </w:rPr>
        <w:t xml:space="preserve">that the Union action must aim to </w:t>
      </w:r>
      <w:r w:rsidR="00FD40FD" w:rsidRPr="00814C1E">
        <w:rPr>
          <w:noProof/>
        </w:rPr>
        <w:t>‘</w:t>
      </w:r>
      <w:r w:rsidRPr="00814C1E">
        <w:rPr>
          <w:noProof/>
        </w:rPr>
        <w:t>stimulate cooperation on training between educational or training establishments and firms</w:t>
      </w:r>
      <w:r w:rsidR="00FD40FD" w:rsidRPr="00814C1E">
        <w:rPr>
          <w:noProof/>
        </w:rPr>
        <w:t>’</w:t>
      </w:r>
      <w:r w:rsidRPr="00814C1E">
        <w:rPr>
          <w:noProof/>
        </w:rPr>
        <w:t xml:space="preserve">. </w:t>
      </w:r>
    </w:p>
    <w:p w14:paraId="2697F401" w14:textId="5701B162" w:rsidR="00E064D9" w:rsidRDefault="00E62E6B" w:rsidP="00786BFD">
      <w:pPr>
        <w:pBdr>
          <w:top w:val="nil"/>
          <w:left w:val="nil"/>
          <w:bottom w:val="nil"/>
          <w:right w:val="nil"/>
          <w:between w:val="nil"/>
          <w:bar w:val="nil"/>
        </w:pBdr>
        <w:spacing w:before="0"/>
        <w:rPr>
          <w:noProof/>
        </w:rPr>
      </w:pPr>
      <w:r>
        <w:rPr>
          <w:noProof/>
        </w:rPr>
        <w:t>Additionally, t</w:t>
      </w:r>
      <w:r w:rsidRPr="00306913">
        <w:rPr>
          <w:noProof/>
        </w:rPr>
        <w:t xml:space="preserve">he proposal </w:t>
      </w:r>
      <w:r>
        <w:rPr>
          <w:noProof/>
        </w:rPr>
        <w:t>is</w:t>
      </w:r>
      <w:r w:rsidRPr="00953555">
        <w:rPr>
          <w:noProof/>
        </w:rPr>
        <w:t xml:space="preserve"> based on Article 153</w:t>
      </w:r>
      <w:r>
        <w:rPr>
          <w:noProof/>
        </w:rPr>
        <w:t xml:space="preserve">(1) </w:t>
      </w:r>
      <w:r w:rsidRPr="00953555">
        <w:rPr>
          <w:noProof/>
        </w:rPr>
        <w:t>points (</w:t>
      </w:r>
      <w:r>
        <w:rPr>
          <w:noProof/>
        </w:rPr>
        <w:t>b</w:t>
      </w:r>
      <w:r w:rsidRPr="00953555">
        <w:rPr>
          <w:noProof/>
        </w:rPr>
        <w:t>) and (</w:t>
      </w:r>
      <w:r>
        <w:rPr>
          <w:noProof/>
        </w:rPr>
        <w:t>i</w:t>
      </w:r>
      <w:r w:rsidRPr="00953555">
        <w:rPr>
          <w:noProof/>
        </w:rPr>
        <w:t>)</w:t>
      </w:r>
      <w:r>
        <w:rPr>
          <w:noProof/>
        </w:rPr>
        <w:t xml:space="preserve"> in conjunction with Article 292. Whilst </w:t>
      </w:r>
      <w:r w:rsidRPr="0001359F">
        <w:rPr>
          <w:noProof/>
        </w:rPr>
        <w:t>Article 153</w:t>
      </w:r>
      <w:r>
        <w:rPr>
          <w:noProof/>
        </w:rPr>
        <w:t>(1)</w:t>
      </w:r>
      <w:r w:rsidRPr="0001359F">
        <w:rPr>
          <w:noProof/>
        </w:rPr>
        <w:t xml:space="preserve"> points (</w:t>
      </w:r>
      <w:r>
        <w:rPr>
          <w:noProof/>
        </w:rPr>
        <w:t>b</w:t>
      </w:r>
      <w:r w:rsidRPr="0001359F">
        <w:rPr>
          <w:noProof/>
        </w:rPr>
        <w:t>) and (</w:t>
      </w:r>
      <w:r>
        <w:rPr>
          <w:noProof/>
        </w:rPr>
        <w:t xml:space="preserve">i) state that </w:t>
      </w:r>
      <w:r w:rsidRPr="00953555">
        <w:rPr>
          <w:noProof/>
        </w:rPr>
        <w:t xml:space="preserve">the Union shall support and complement the activities of the Member States in </w:t>
      </w:r>
      <w:r>
        <w:rPr>
          <w:noProof/>
        </w:rPr>
        <w:t xml:space="preserve">the field of working conditions and </w:t>
      </w:r>
      <w:r w:rsidRPr="00953555">
        <w:rPr>
          <w:noProof/>
        </w:rPr>
        <w:t>equality between men and women with regard to labour market opportunities and treatment at work</w:t>
      </w:r>
      <w:r>
        <w:rPr>
          <w:noProof/>
        </w:rPr>
        <w:t>, Article 292 of the TFEU provides the legal basis for the Council to adopt recommendations based on a proposal from the Commission.</w:t>
      </w:r>
      <w:r w:rsidR="00AE5922">
        <w:rPr>
          <w:noProof/>
        </w:rPr>
        <w:t xml:space="preserve"> </w:t>
      </w:r>
    </w:p>
    <w:p w14:paraId="2E78882E" w14:textId="77777777" w:rsidR="00801AD2" w:rsidRPr="00814C1E" w:rsidRDefault="2727BED0" w:rsidP="00786BFD">
      <w:pPr>
        <w:pBdr>
          <w:top w:val="nil"/>
          <w:left w:val="nil"/>
          <w:bottom w:val="nil"/>
          <w:right w:val="nil"/>
          <w:between w:val="nil"/>
          <w:bar w:val="nil"/>
        </w:pBdr>
        <w:spacing w:before="0"/>
        <w:rPr>
          <w:rFonts w:eastAsia="Arial Unicode MS"/>
          <w:noProof/>
        </w:rPr>
      </w:pPr>
      <w:r w:rsidRPr="00814C1E">
        <w:rPr>
          <w:noProof/>
        </w:rPr>
        <w:t>The initiative does not propose any extension of EU regulatory power or binding commitments on Member States.</w:t>
      </w:r>
      <w:r w:rsidR="009502F6" w:rsidRPr="009502F6">
        <w:rPr>
          <w:noProof/>
        </w:rPr>
        <w:t xml:space="preserve"> </w:t>
      </w:r>
      <w:r w:rsidR="009502F6">
        <w:rPr>
          <w:noProof/>
        </w:rPr>
        <w:t>It is the Member States who will decide, based on their national circumstances, how they implement this Council recommendation.</w:t>
      </w:r>
    </w:p>
    <w:p w14:paraId="610D20EE" w14:textId="77777777" w:rsidR="00687B11" w:rsidRPr="00814C1E" w:rsidRDefault="00687B11" w:rsidP="00B918A1">
      <w:pPr>
        <w:pStyle w:val="ManualHeading2"/>
        <w:rPr>
          <w:noProof/>
          <w:u w:color="000000"/>
          <w:bdr w:val="nil"/>
          <w:lang w:val="en-US" w:eastAsia="en-GB"/>
        </w:rPr>
      </w:pPr>
      <w:r>
        <w:rPr>
          <w:noProof/>
        </w:rPr>
        <w:t>2.2.</w:t>
      </w:r>
      <w:r>
        <w:rPr>
          <w:noProof/>
        </w:rPr>
        <w:tab/>
      </w:r>
      <w:r w:rsidRPr="00814C1E">
        <w:rPr>
          <w:noProof/>
          <w:u w:color="000000"/>
          <w:bdr w:val="nil"/>
          <w:lang w:val="en-US" w:eastAsia="en-GB"/>
        </w:rPr>
        <w:t xml:space="preserve">Subsidiarity (for non-exclusive competence) </w:t>
      </w:r>
    </w:p>
    <w:p w14:paraId="4FB52A98" w14:textId="77777777" w:rsidR="00801AD2" w:rsidRPr="00814C1E" w:rsidRDefault="00522982" w:rsidP="00732E7E">
      <w:pPr>
        <w:pBdr>
          <w:top w:val="nil"/>
          <w:left w:val="nil"/>
          <w:bottom w:val="nil"/>
          <w:right w:val="nil"/>
          <w:between w:val="nil"/>
          <w:bar w:val="nil"/>
        </w:pBdr>
        <w:spacing w:before="0"/>
        <w:rPr>
          <w:rFonts w:eastAsia="Arial Unicode MS"/>
          <w:noProof/>
        </w:rPr>
      </w:pPr>
      <w:r>
        <w:rPr>
          <w:noProof/>
        </w:rPr>
        <w:t>The</w:t>
      </w:r>
      <w:r w:rsidR="2727BED0" w:rsidRPr="00814C1E">
        <w:rPr>
          <w:noProof/>
        </w:rPr>
        <w:t xml:space="preserve"> proposal is in conformity with the principle of subsidiarity as provided for in Article 5(3) of the Treaty on the European Union (TEU). </w:t>
      </w:r>
      <w:r w:rsidR="00997A48">
        <w:rPr>
          <w:noProof/>
        </w:rPr>
        <w:t xml:space="preserve">It </w:t>
      </w:r>
      <w:r w:rsidR="2727BED0" w:rsidRPr="00814C1E">
        <w:rPr>
          <w:noProof/>
        </w:rPr>
        <w:t xml:space="preserve">seeks to </w:t>
      </w:r>
      <w:r w:rsidR="00127814">
        <w:rPr>
          <w:noProof/>
        </w:rPr>
        <w:t>increase</w:t>
      </w:r>
      <w:r w:rsidR="2727BED0" w:rsidRPr="00814C1E">
        <w:rPr>
          <w:noProof/>
        </w:rPr>
        <w:t xml:space="preserve"> transnational cooperation in higher education while safeguarding the ability of the Member States to take independent legislative decisions and implement measures aimed at fostering deeper cooperation between higher education institutions. Notwithstanding Member States’ responsibility, transnational cooperation issues are by nature better addressed at EU</w:t>
      </w:r>
      <w:r w:rsidR="00C7542B" w:rsidRPr="00814C1E">
        <w:rPr>
          <w:noProof/>
        </w:rPr>
        <w:t xml:space="preserve"> </w:t>
      </w:r>
      <w:r w:rsidR="2727BED0" w:rsidRPr="00814C1E">
        <w:rPr>
          <w:noProof/>
        </w:rPr>
        <w:t>level</w:t>
      </w:r>
      <w:r w:rsidR="000A4D62">
        <w:rPr>
          <w:noProof/>
        </w:rPr>
        <w:t xml:space="preserve">, </w:t>
      </w:r>
      <w:r w:rsidR="2727BED0" w:rsidRPr="00814C1E">
        <w:rPr>
          <w:noProof/>
        </w:rPr>
        <w:t>through joint action.</w:t>
      </w:r>
    </w:p>
    <w:p w14:paraId="742FE4C7" w14:textId="77777777" w:rsidR="00687B11" w:rsidRPr="00814C1E" w:rsidRDefault="00687B11" w:rsidP="00B918A1">
      <w:pPr>
        <w:pStyle w:val="ManualHeading2"/>
        <w:rPr>
          <w:noProof/>
          <w:u w:color="000000"/>
          <w:bdr w:val="nil"/>
          <w:lang w:val="en-US" w:eastAsia="en-GB"/>
        </w:rPr>
      </w:pPr>
      <w:r>
        <w:rPr>
          <w:noProof/>
        </w:rPr>
        <w:t>2.3.</w:t>
      </w:r>
      <w:r>
        <w:rPr>
          <w:noProof/>
        </w:rPr>
        <w:tab/>
      </w:r>
      <w:r w:rsidRPr="00814C1E">
        <w:rPr>
          <w:noProof/>
          <w:u w:color="000000"/>
          <w:bdr w:val="nil"/>
          <w:lang w:val="en-US" w:eastAsia="en-GB"/>
        </w:rPr>
        <w:t>Proportionality</w:t>
      </w:r>
    </w:p>
    <w:p w14:paraId="6C68A525" w14:textId="77777777" w:rsidR="00801AD2" w:rsidRPr="00814C1E" w:rsidRDefault="2727BED0" w:rsidP="00786BFD">
      <w:pPr>
        <w:pBdr>
          <w:top w:val="nil"/>
          <w:left w:val="nil"/>
          <w:bottom w:val="nil"/>
          <w:right w:val="nil"/>
          <w:between w:val="nil"/>
          <w:bar w:val="nil"/>
        </w:pBdr>
        <w:spacing w:before="0"/>
        <w:rPr>
          <w:rFonts w:eastAsia="Arial Unicode MS"/>
          <w:noProof/>
        </w:rPr>
      </w:pPr>
      <w:r w:rsidRPr="00814C1E">
        <w:rPr>
          <w:noProof/>
        </w:rPr>
        <w:t xml:space="preserve">The proposal is in conformity with the principle of proportionality as provided for in Article 5(4) of </w:t>
      </w:r>
      <w:r w:rsidR="00A00FDD">
        <w:rPr>
          <w:noProof/>
        </w:rPr>
        <w:t xml:space="preserve">the </w:t>
      </w:r>
      <w:r w:rsidRPr="00814C1E">
        <w:rPr>
          <w:noProof/>
        </w:rPr>
        <w:t xml:space="preserve">TEU. Neither the content, nor the form of </w:t>
      </w:r>
      <w:r w:rsidR="000A4D62">
        <w:rPr>
          <w:noProof/>
        </w:rPr>
        <w:t>the proposal</w:t>
      </w:r>
      <w:r w:rsidRPr="00814C1E">
        <w:rPr>
          <w:noProof/>
        </w:rPr>
        <w:t xml:space="preserve"> exceeds what is necessary to achieve its objectives. The actions proposed are proportional to the pursued objectives as they respect Member States’ practices and the diversity of systems. Any commitments by Member States are voluntary in nature and each Member State remains free to decide on the </w:t>
      </w:r>
      <w:r w:rsidR="00E261AF">
        <w:rPr>
          <w:noProof/>
        </w:rPr>
        <w:t>implementation of the proposal</w:t>
      </w:r>
      <w:r w:rsidRPr="00814C1E">
        <w:rPr>
          <w:noProof/>
        </w:rPr>
        <w:t xml:space="preserve">. The added value of action at EU level is to foster deeper transnational cooperation between higher education institutions from different Member States, to improve the functioning of higher education </w:t>
      </w:r>
      <w:r w:rsidR="007A2CE3">
        <w:rPr>
          <w:noProof/>
        </w:rPr>
        <w:t>in</w:t>
      </w:r>
      <w:r w:rsidRPr="00814C1E">
        <w:rPr>
          <w:noProof/>
        </w:rPr>
        <w:t xml:space="preserve"> the EU and increase its worldwide attractiveness and competitiveness</w:t>
      </w:r>
      <w:r w:rsidR="5C0D1BFF" w:rsidRPr="00814C1E">
        <w:rPr>
          <w:noProof/>
        </w:rPr>
        <w:t>.</w:t>
      </w:r>
    </w:p>
    <w:p w14:paraId="05946A37" w14:textId="77777777" w:rsidR="00687B11" w:rsidRPr="00814C1E" w:rsidRDefault="00687B11" w:rsidP="00B918A1">
      <w:pPr>
        <w:pStyle w:val="ManualHeading2"/>
        <w:rPr>
          <w:noProof/>
          <w:u w:color="000000"/>
          <w:bdr w:val="nil"/>
          <w:lang w:val="en-US" w:eastAsia="en-GB"/>
        </w:rPr>
      </w:pPr>
      <w:r>
        <w:rPr>
          <w:noProof/>
        </w:rPr>
        <w:t>2.4.</w:t>
      </w:r>
      <w:r>
        <w:rPr>
          <w:noProof/>
        </w:rPr>
        <w:tab/>
      </w:r>
      <w:r w:rsidRPr="00814C1E">
        <w:rPr>
          <w:noProof/>
          <w:u w:color="000000"/>
          <w:bdr w:val="nil"/>
          <w:lang w:val="en-US" w:eastAsia="en-GB"/>
        </w:rPr>
        <w:t>Choice of instrument</w:t>
      </w:r>
    </w:p>
    <w:p w14:paraId="29BB7781" w14:textId="77777777" w:rsidR="00801AD2" w:rsidRPr="00814C1E" w:rsidRDefault="2727BED0" w:rsidP="3B9FFA42">
      <w:pPr>
        <w:pBdr>
          <w:top w:val="nil"/>
          <w:left w:val="nil"/>
          <w:bottom w:val="nil"/>
          <w:right w:val="nil"/>
          <w:between w:val="nil"/>
          <w:bar w:val="nil"/>
        </w:pBdr>
        <w:spacing w:before="0" w:after="240"/>
        <w:rPr>
          <w:rFonts w:eastAsia="Arial Unicode MS"/>
          <w:noProof/>
        </w:rPr>
      </w:pPr>
      <w:r w:rsidRPr="00814C1E">
        <w:rPr>
          <w:noProof/>
        </w:rPr>
        <w:t xml:space="preserve">To achieve the objectives referred to above, Articles 165(4) and 166(4) </w:t>
      </w:r>
      <w:r w:rsidR="007A2CE3">
        <w:rPr>
          <w:noProof/>
        </w:rPr>
        <w:t xml:space="preserve">of the </w:t>
      </w:r>
      <w:r w:rsidRPr="00814C1E">
        <w:rPr>
          <w:noProof/>
        </w:rPr>
        <w:t>TFEU</w:t>
      </w:r>
      <w:r w:rsidR="007836BD">
        <w:rPr>
          <w:noProof/>
        </w:rPr>
        <w:t>, as well as Article 292 as explained above,</w:t>
      </w:r>
      <w:r w:rsidRPr="00814C1E">
        <w:rPr>
          <w:noProof/>
        </w:rPr>
        <w:t xml:space="preserve"> provide for the adoption by the Council of recommendations, on a proposal from the Commission. A Council recommendation is an appropriate instrument within the field of education and training where the Union has a supporting responsibility.</w:t>
      </w:r>
    </w:p>
    <w:p w14:paraId="17E45A32" w14:textId="77777777" w:rsidR="00687B11" w:rsidRPr="00814C1E" w:rsidRDefault="00687B11" w:rsidP="00B918A1">
      <w:pPr>
        <w:pStyle w:val="ManualHeading1"/>
        <w:rPr>
          <w:noProof/>
        </w:rPr>
      </w:pPr>
      <w:r>
        <w:rPr>
          <w:noProof/>
        </w:rPr>
        <w:lastRenderedPageBreak/>
        <w:t>3.</w:t>
      </w:r>
      <w:r>
        <w:rPr>
          <w:noProof/>
        </w:rPr>
        <w:tab/>
      </w:r>
      <w:r w:rsidRPr="00814C1E">
        <w:rPr>
          <w:noProof/>
        </w:rPr>
        <w:t>RESULTS OF EX-POST EVALUATIONS, STAKEHOLDER CONSULTATIONS AND IMPACT ASSESSMENTS</w:t>
      </w:r>
    </w:p>
    <w:p w14:paraId="2E64EAD6" w14:textId="77777777" w:rsidR="00687B11" w:rsidRPr="00814C1E" w:rsidRDefault="00687B11" w:rsidP="00B918A1">
      <w:pPr>
        <w:pStyle w:val="ManualHeading2"/>
        <w:rPr>
          <w:noProof/>
          <w:u w:color="000000"/>
          <w:bdr w:val="nil"/>
          <w:lang w:val="en-US" w:eastAsia="en-GB"/>
        </w:rPr>
      </w:pPr>
      <w:r>
        <w:rPr>
          <w:noProof/>
        </w:rPr>
        <w:t>3.1.</w:t>
      </w:r>
      <w:r>
        <w:rPr>
          <w:noProof/>
        </w:rPr>
        <w:tab/>
      </w:r>
      <w:r w:rsidRPr="00814C1E">
        <w:rPr>
          <w:noProof/>
          <w:u w:color="000000"/>
          <w:bdr w:val="nil"/>
          <w:lang w:val="en-US" w:eastAsia="en-GB"/>
        </w:rPr>
        <w:t>Stakeholder consultations</w:t>
      </w:r>
    </w:p>
    <w:p w14:paraId="7091CFD5" w14:textId="77777777" w:rsidR="00517EC4" w:rsidRPr="00814C1E" w:rsidRDefault="74762FBB" w:rsidP="000C6DC4">
      <w:pPr>
        <w:rPr>
          <w:noProof/>
        </w:rPr>
      </w:pPr>
      <w:r w:rsidRPr="00814C1E">
        <w:rPr>
          <w:noProof/>
        </w:rPr>
        <w:t>Numerous consu</w:t>
      </w:r>
      <w:r w:rsidR="03F2F63C" w:rsidRPr="00814C1E">
        <w:rPr>
          <w:noProof/>
        </w:rPr>
        <w:t>l</w:t>
      </w:r>
      <w:r w:rsidRPr="00814C1E">
        <w:rPr>
          <w:noProof/>
        </w:rPr>
        <w:t xml:space="preserve">tation activities </w:t>
      </w:r>
      <w:r w:rsidR="004166E2">
        <w:rPr>
          <w:noProof/>
        </w:rPr>
        <w:t xml:space="preserve">have been </w:t>
      </w:r>
      <w:r w:rsidRPr="00814C1E">
        <w:rPr>
          <w:noProof/>
        </w:rPr>
        <w:t xml:space="preserve">carried out over the </w:t>
      </w:r>
      <w:r w:rsidR="00BB7D21" w:rsidRPr="00814C1E">
        <w:rPr>
          <w:noProof/>
        </w:rPr>
        <w:t xml:space="preserve">recent </w:t>
      </w:r>
      <w:r w:rsidRPr="00814C1E">
        <w:rPr>
          <w:noProof/>
        </w:rPr>
        <w:t>years</w:t>
      </w:r>
      <w:r w:rsidR="00881BE2">
        <w:rPr>
          <w:noProof/>
        </w:rPr>
        <w:t xml:space="preserve"> at the meetings of</w:t>
      </w:r>
      <w:r w:rsidR="000C6DC4">
        <w:rPr>
          <w:noProof/>
        </w:rPr>
        <w:t>: (i)</w:t>
      </w:r>
      <w:r w:rsidR="00881BE2">
        <w:rPr>
          <w:noProof/>
        </w:rPr>
        <w:t xml:space="preserve"> the </w:t>
      </w:r>
      <w:r w:rsidRPr="00814C1E">
        <w:rPr>
          <w:noProof/>
        </w:rPr>
        <w:t xml:space="preserve">European Education Area </w:t>
      </w:r>
      <w:r w:rsidR="00770FBF" w:rsidRPr="00814C1E">
        <w:rPr>
          <w:noProof/>
        </w:rPr>
        <w:t xml:space="preserve">Strategic Framework </w:t>
      </w:r>
      <w:r w:rsidR="7D5C98D4" w:rsidRPr="00814C1E">
        <w:rPr>
          <w:noProof/>
        </w:rPr>
        <w:t>W</w:t>
      </w:r>
      <w:r w:rsidRPr="00814C1E">
        <w:rPr>
          <w:noProof/>
        </w:rPr>
        <w:t xml:space="preserve">orking </w:t>
      </w:r>
      <w:r w:rsidR="7D5C98D4" w:rsidRPr="00814C1E">
        <w:rPr>
          <w:noProof/>
        </w:rPr>
        <w:t>G</w:t>
      </w:r>
      <w:r w:rsidRPr="00814C1E">
        <w:rPr>
          <w:noProof/>
        </w:rPr>
        <w:t xml:space="preserve">roup on </w:t>
      </w:r>
      <w:r w:rsidR="7D5C98D4" w:rsidRPr="00814C1E">
        <w:rPr>
          <w:noProof/>
        </w:rPr>
        <w:t>H</w:t>
      </w:r>
      <w:r w:rsidRPr="00814C1E">
        <w:rPr>
          <w:noProof/>
        </w:rPr>
        <w:t xml:space="preserve">igher </w:t>
      </w:r>
      <w:r w:rsidR="7D5C98D4" w:rsidRPr="00814C1E">
        <w:rPr>
          <w:noProof/>
        </w:rPr>
        <w:t>E</w:t>
      </w:r>
      <w:r w:rsidRPr="00814C1E">
        <w:rPr>
          <w:noProof/>
        </w:rPr>
        <w:t>ducation</w:t>
      </w:r>
      <w:r w:rsidR="000C6DC4">
        <w:rPr>
          <w:noProof/>
        </w:rPr>
        <w:t>; (ii)</w:t>
      </w:r>
      <w:r w:rsidR="00881BE2">
        <w:rPr>
          <w:noProof/>
        </w:rPr>
        <w:t xml:space="preserve"> </w:t>
      </w:r>
      <w:r w:rsidRPr="00814C1E">
        <w:rPr>
          <w:noProof/>
        </w:rPr>
        <w:t>the Directors General for Higher Education</w:t>
      </w:r>
      <w:r w:rsidR="000C6DC4">
        <w:rPr>
          <w:noProof/>
        </w:rPr>
        <w:t>,</w:t>
      </w:r>
      <w:r w:rsidR="00881BE2">
        <w:rPr>
          <w:noProof/>
        </w:rPr>
        <w:t xml:space="preserve"> </w:t>
      </w:r>
      <w:r w:rsidR="000C6DC4">
        <w:rPr>
          <w:noProof/>
        </w:rPr>
        <w:t xml:space="preserve">and (iii) </w:t>
      </w:r>
      <w:r w:rsidRPr="00814C1E">
        <w:rPr>
          <w:noProof/>
        </w:rPr>
        <w:t>the Bologna Follow-up Group</w:t>
      </w:r>
      <w:r w:rsidR="00881BE2">
        <w:rPr>
          <w:noProof/>
        </w:rPr>
        <w:t xml:space="preserve"> and</w:t>
      </w:r>
      <w:r w:rsidRPr="00814C1E">
        <w:rPr>
          <w:noProof/>
        </w:rPr>
        <w:t xml:space="preserve"> of the Learning and Teaching Working Group. </w:t>
      </w:r>
    </w:p>
    <w:p w14:paraId="24DF1225" w14:textId="77777777" w:rsidR="00517EC4" w:rsidRPr="00814C1E" w:rsidRDefault="00881BE2" w:rsidP="00517EC4">
      <w:pPr>
        <w:rPr>
          <w:noProof/>
        </w:rPr>
      </w:pPr>
      <w:r>
        <w:rPr>
          <w:noProof/>
        </w:rPr>
        <w:t>R</w:t>
      </w:r>
      <w:r w:rsidR="74762FBB" w:rsidRPr="00814C1E">
        <w:rPr>
          <w:noProof/>
        </w:rPr>
        <w:t xml:space="preserve">egular discussions </w:t>
      </w:r>
      <w:r w:rsidR="007A334D" w:rsidRPr="00814C1E">
        <w:rPr>
          <w:noProof/>
        </w:rPr>
        <w:t>took place</w:t>
      </w:r>
      <w:r w:rsidR="74762FBB" w:rsidRPr="00814C1E">
        <w:rPr>
          <w:noProof/>
        </w:rPr>
        <w:t xml:space="preserve"> between the Commission and higher education institutions</w:t>
      </w:r>
      <w:r w:rsidR="00492B2C">
        <w:rPr>
          <w:noProof/>
        </w:rPr>
        <w:t>,</w:t>
      </w:r>
      <w:r w:rsidR="74762FBB" w:rsidRPr="00814C1E">
        <w:rPr>
          <w:noProof/>
        </w:rPr>
        <w:t xml:space="preserve"> </w:t>
      </w:r>
      <w:r w:rsidR="74762FBB" w:rsidRPr="003310EF">
        <w:rPr>
          <w:noProof/>
        </w:rPr>
        <w:t>stakeholder organisations</w:t>
      </w:r>
      <w:r w:rsidRPr="003310EF">
        <w:rPr>
          <w:noProof/>
        </w:rPr>
        <w:t xml:space="preserve">, including </w:t>
      </w:r>
      <w:r w:rsidRPr="003310EF">
        <w:rPr>
          <w:noProof/>
          <w:lang w:val="en-IE"/>
        </w:rPr>
        <w:t>the European Universities</w:t>
      </w:r>
      <w:r w:rsidR="74762FBB" w:rsidRPr="003310EF">
        <w:rPr>
          <w:noProof/>
        </w:rPr>
        <w:t xml:space="preserve">. Many stakeholders provided input </w:t>
      </w:r>
      <w:r w:rsidR="00886485" w:rsidRPr="003310EF">
        <w:rPr>
          <w:noProof/>
        </w:rPr>
        <w:t>in</w:t>
      </w:r>
      <w:r w:rsidR="74762FBB" w:rsidRPr="003310EF">
        <w:rPr>
          <w:noProof/>
        </w:rPr>
        <w:t xml:space="preserve"> written contributions (EUA, YERUN, LERU, CESAER, The Guild, EURASHE</w:t>
      </w:r>
      <w:r w:rsidR="00250F97" w:rsidRPr="003310EF">
        <w:rPr>
          <w:rStyle w:val="Allmrkuseviide"/>
          <w:noProof/>
        </w:rPr>
        <w:footnoteReference w:id="36"/>
      </w:r>
      <w:r w:rsidR="17312EEF" w:rsidRPr="003310EF">
        <w:rPr>
          <w:noProof/>
        </w:rPr>
        <w:t>)</w:t>
      </w:r>
      <w:r w:rsidR="74762FBB" w:rsidRPr="003310EF">
        <w:rPr>
          <w:noProof/>
        </w:rPr>
        <w:t xml:space="preserve">. </w:t>
      </w:r>
    </w:p>
    <w:p w14:paraId="1CC7E159" w14:textId="77777777" w:rsidR="005952D9" w:rsidRPr="00814C1E" w:rsidRDefault="06A75839" w:rsidP="00D44DCC">
      <w:pPr>
        <w:widowControl w:val="0"/>
        <w:autoSpaceDE w:val="0"/>
        <w:autoSpaceDN w:val="0"/>
        <w:adjustRightInd w:val="0"/>
        <w:rPr>
          <w:rFonts w:eastAsiaTheme="minorEastAsia"/>
          <w:noProof/>
          <w:lang w:val="en-IE" w:eastAsia="en-GB"/>
        </w:rPr>
      </w:pPr>
      <w:r w:rsidRPr="00814C1E">
        <w:rPr>
          <w:noProof/>
        </w:rPr>
        <w:t xml:space="preserve">An </w:t>
      </w:r>
      <w:r w:rsidR="4997D222" w:rsidRPr="00814C1E">
        <w:rPr>
          <w:noProof/>
        </w:rPr>
        <w:t>online survey</w:t>
      </w:r>
      <w:r w:rsidR="49F24625" w:rsidRPr="00814C1E">
        <w:rPr>
          <w:noProof/>
        </w:rPr>
        <w:t xml:space="preserve"> </w:t>
      </w:r>
      <w:r w:rsidR="4997D222" w:rsidRPr="00814C1E">
        <w:rPr>
          <w:noProof/>
        </w:rPr>
        <w:t xml:space="preserve">further </w:t>
      </w:r>
      <w:r w:rsidR="003D32AB">
        <w:rPr>
          <w:noProof/>
        </w:rPr>
        <w:t>strengthened</w:t>
      </w:r>
      <w:r w:rsidR="003D32AB" w:rsidRPr="00814C1E" w:rsidDel="003D32AB">
        <w:rPr>
          <w:noProof/>
        </w:rPr>
        <w:t xml:space="preserve"> </w:t>
      </w:r>
      <w:r w:rsidR="10F32A77" w:rsidRPr="00814C1E">
        <w:rPr>
          <w:noProof/>
        </w:rPr>
        <w:t xml:space="preserve">stakeholders’ input, as </w:t>
      </w:r>
      <w:r w:rsidR="003D32AB">
        <w:rPr>
          <w:noProof/>
        </w:rPr>
        <w:t xml:space="preserve">did </w:t>
      </w:r>
      <w:r w:rsidR="4997D222" w:rsidRPr="00814C1E">
        <w:rPr>
          <w:noProof/>
        </w:rPr>
        <w:t xml:space="preserve">findings </w:t>
      </w:r>
      <w:r w:rsidR="10F32A77" w:rsidRPr="00814C1E">
        <w:rPr>
          <w:noProof/>
        </w:rPr>
        <w:t>from an earlier</w:t>
      </w:r>
      <w:r w:rsidR="4997D222" w:rsidRPr="00814C1E">
        <w:rPr>
          <w:noProof/>
        </w:rPr>
        <w:t xml:space="preserve"> literature review</w:t>
      </w:r>
      <w:r w:rsidR="003D32AB">
        <w:rPr>
          <w:noProof/>
        </w:rPr>
        <w:t>. This survey and these findings</w:t>
      </w:r>
      <w:r w:rsidR="546D55A9" w:rsidRPr="00814C1E">
        <w:rPr>
          <w:noProof/>
        </w:rPr>
        <w:t xml:space="preserve"> clearly </w:t>
      </w:r>
      <w:r w:rsidR="007A334D" w:rsidRPr="00814C1E">
        <w:rPr>
          <w:noProof/>
        </w:rPr>
        <w:t>indicat</w:t>
      </w:r>
      <w:r w:rsidR="003D32AB">
        <w:rPr>
          <w:noProof/>
        </w:rPr>
        <w:t>ed</w:t>
      </w:r>
      <w:r w:rsidR="546D55A9" w:rsidRPr="00814C1E">
        <w:rPr>
          <w:noProof/>
        </w:rPr>
        <w:t xml:space="preserve"> the </w:t>
      </w:r>
      <w:r w:rsidR="007A334D" w:rsidRPr="00814C1E">
        <w:rPr>
          <w:noProof/>
        </w:rPr>
        <w:t>perceived</w:t>
      </w:r>
      <w:r w:rsidR="546D55A9" w:rsidRPr="00814C1E">
        <w:rPr>
          <w:noProof/>
        </w:rPr>
        <w:t xml:space="preserve"> lack of recognition for teaching and other activities</w:t>
      </w:r>
      <w:r w:rsidR="003D32AB">
        <w:rPr>
          <w:noProof/>
        </w:rPr>
        <w:t xml:space="preserve"> compared with</w:t>
      </w:r>
      <w:r w:rsidR="546D55A9" w:rsidRPr="00814C1E">
        <w:rPr>
          <w:noProof/>
        </w:rPr>
        <w:t xml:space="preserve"> research</w:t>
      </w:r>
      <w:r w:rsidR="002741A1" w:rsidRPr="00814C1E">
        <w:rPr>
          <w:noProof/>
        </w:rPr>
        <w:t>,</w:t>
      </w:r>
      <w:r w:rsidR="546D55A9" w:rsidRPr="00814C1E">
        <w:rPr>
          <w:noProof/>
        </w:rPr>
        <w:t xml:space="preserve"> in academic careers at higher eduction institutions</w:t>
      </w:r>
      <w:r w:rsidR="49F24625" w:rsidRPr="00814C1E">
        <w:rPr>
          <w:noProof/>
        </w:rPr>
        <w:t xml:space="preserve">. </w:t>
      </w:r>
      <w:r w:rsidR="3B624072" w:rsidRPr="00814C1E">
        <w:rPr>
          <w:noProof/>
        </w:rPr>
        <w:t>The call for evidence</w:t>
      </w:r>
      <w:r w:rsidR="005952D9" w:rsidRPr="00814C1E">
        <w:rPr>
          <w:rStyle w:val="Allmrkuseviide"/>
          <w:noProof/>
        </w:rPr>
        <w:footnoteReference w:id="37"/>
      </w:r>
      <w:r w:rsidR="3B624072" w:rsidRPr="00814C1E">
        <w:rPr>
          <w:noProof/>
        </w:rPr>
        <w:t xml:space="preserve"> was published on 9 January 2024</w:t>
      </w:r>
      <w:r w:rsidR="00050E7F" w:rsidRPr="00814C1E">
        <w:rPr>
          <w:noProof/>
        </w:rPr>
        <w:t xml:space="preserve"> and closed on 6 February 2024</w:t>
      </w:r>
      <w:r w:rsidR="00733F22">
        <w:rPr>
          <w:noProof/>
        </w:rPr>
        <w:t>, and</w:t>
      </w:r>
      <w:r w:rsidR="00050E7F" w:rsidRPr="00814C1E">
        <w:rPr>
          <w:noProof/>
        </w:rPr>
        <w:t xml:space="preserve"> </w:t>
      </w:r>
      <w:r w:rsidR="00733F22">
        <w:rPr>
          <w:rStyle w:val="normaltextrun"/>
          <w:noProof/>
        </w:rPr>
        <w:t>s</w:t>
      </w:r>
      <w:r w:rsidR="00050E7F" w:rsidRPr="00814C1E">
        <w:rPr>
          <w:rStyle w:val="normaltextrun"/>
          <w:noProof/>
        </w:rPr>
        <w:t>takeholders generally welcomed the initiative.</w:t>
      </w:r>
      <w:r w:rsidR="00050E7F" w:rsidRPr="00814C1E">
        <w:rPr>
          <w:noProof/>
        </w:rPr>
        <w:t xml:space="preserve"> </w:t>
      </w:r>
    </w:p>
    <w:p w14:paraId="3B1CC6E2" w14:textId="77777777" w:rsidR="00B25779" w:rsidRPr="00814C1E" w:rsidRDefault="2E8B0B18" w:rsidP="3B9FFA42">
      <w:pPr>
        <w:widowControl w:val="0"/>
        <w:autoSpaceDE w:val="0"/>
        <w:autoSpaceDN w:val="0"/>
        <w:adjustRightInd w:val="0"/>
        <w:rPr>
          <w:rFonts w:eastAsiaTheme="minorEastAsia"/>
          <w:noProof/>
          <w:lang w:val="en-IE" w:eastAsia="en-GB"/>
        </w:rPr>
      </w:pPr>
      <w:r w:rsidRPr="00814C1E">
        <w:rPr>
          <w:rFonts w:eastAsiaTheme="minorEastAsia"/>
          <w:noProof/>
          <w:lang w:val="en-IE" w:eastAsia="en-GB"/>
        </w:rPr>
        <w:t xml:space="preserve">The Commission also </w:t>
      </w:r>
      <w:r w:rsidR="00881BE2">
        <w:rPr>
          <w:rFonts w:eastAsiaTheme="minorEastAsia"/>
          <w:noProof/>
          <w:lang w:val="en-IE" w:eastAsia="en-GB"/>
        </w:rPr>
        <w:t xml:space="preserve">had </w:t>
      </w:r>
      <w:r w:rsidRPr="00814C1E">
        <w:rPr>
          <w:rFonts w:eastAsiaTheme="minorEastAsia"/>
          <w:noProof/>
          <w:lang w:val="en-IE" w:eastAsia="en-GB"/>
        </w:rPr>
        <w:t>exchanges with social partners</w:t>
      </w:r>
      <w:r w:rsidR="00881BE2">
        <w:rPr>
          <w:rFonts w:eastAsiaTheme="minorEastAsia"/>
          <w:noProof/>
          <w:lang w:val="en-IE" w:eastAsia="en-GB"/>
        </w:rPr>
        <w:t xml:space="preserve"> such as ETUCE</w:t>
      </w:r>
      <w:r w:rsidR="00733F22">
        <w:rPr>
          <w:rStyle w:val="Allmrkuseviide"/>
          <w:rFonts w:eastAsiaTheme="minorEastAsia"/>
          <w:noProof/>
          <w:lang w:val="en-IE" w:eastAsia="en-GB"/>
        </w:rPr>
        <w:footnoteReference w:id="38"/>
      </w:r>
      <w:r w:rsidRPr="00814C1E">
        <w:rPr>
          <w:rFonts w:eastAsiaTheme="minorEastAsia"/>
          <w:noProof/>
          <w:lang w:val="en-IE" w:eastAsia="en-GB"/>
        </w:rPr>
        <w:t xml:space="preserve"> </w:t>
      </w:r>
      <w:r w:rsidR="003D32AB">
        <w:rPr>
          <w:rFonts w:eastAsiaTheme="minorEastAsia"/>
          <w:noProof/>
          <w:lang w:eastAsia="en-GB"/>
        </w:rPr>
        <w:t>throughout</w:t>
      </w:r>
      <w:r w:rsidR="003D32AB" w:rsidRPr="00171FDC">
        <w:rPr>
          <w:rFonts w:eastAsiaTheme="minorEastAsia"/>
          <w:noProof/>
          <w:lang w:eastAsia="en-GB"/>
        </w:rPr>
        <w:t xml:space="preserve"> </w:t>
      </w:r>
      <w:r w:rsidRPr="00814C1E">
        <w:rPr>
          <w:rFonts w:eastAsiaTheme="minorEastAsia"/>
          <w:noProof/>
          <w:lang w:val="en-IE" w:eastAsia="en-GB"/>
        </w:rPr>
        <w:t xml:space="preserve">the preparation </w:t>
      </w:r>
      <w:r w:rsidR="3872AC79" w:rsidRPr="00814C1E">
        <w:rPr>
          <w:rFonts w:eastAsiaTheme="minorEastAsia"/>
          <w:noProof/>
          <w:lang w:val="en-IE" w:eastAsia="en-GB"/>
        </w:rPr>
        <w:t xml:space="preserve">process </w:t>
      </w:r>
      <w:r w:rsidRPr="00814C1E">
        <w:rPr>
          <w:rFonts w:eastAsiaTheme="minorEastAsia"/>
          <w:noProof/>
          <w:lang w:val="en-IE" w:eastAsia="en-GB"/>
        </w:rPr>
        <w:t xml:space="preserve">of this recommendation. </w:t>
      </w:r>
    </w:p>
    <w:p w14:paraId="5A06A4BE" w14:textId="77777777" w:rsidR="00461F51" w:rsidRPr="00814C1E" w:rsidRDefault="00687B11" w:rsidP="00B918A1">
      <w:pPr>
        <w:pStyle w:val="ManualHeading2"/>
        <w:rPr>
          <w:noProof/>
          <w:u w:color="000000"/>
          <w:bdr w:val="nil"/>
          <w:lang w:val="en-US" w:eastAsia="en-GB"/>
        </w:rPr>
      </w:pPr>
      <w:r>
        <w:rPr>
          <w:noProof/>
        </w:rPr>
        <w:t>3.2.</w:t>
      </w:r>
      <w:r>
        <w:rPr>
          <w:noProof/>
        </w:rPr>
        <w:tab/>
      </w:r>
      <w:bookmarkStart w:id="12" w:name="_Hlk142929102"/>
      <w:r w:rsidRPr="00814C1E">
        <w:rPr>
          <w:noProof/>
          <w:u w:color="000000"/>
          <w:bdr w:val="nil"/>
          <w:lang w:val="en-US" w:eastAsia="en-GB"/>
        </w:rPr>
        <w:t>Collection and use of expertise</w:t>
      </w:r>
    </w:p>
    <w:bookmarkEnd w:id="12"/>
    <w:p w14:paraId="4BEAE24B" w14:textId="77777777" w:rsidR="00733F22" w:rsidRDefault="74762FBB" w:rsidP="00517EC4">
      <w:pPr>
        <w:rPr>
          <w:noProof/>
        </w:rPr>
      </w:pPr>
      <w:r w:rsidRPr="00814C1E">
        <w:rPr>
          <w:noProof/>
        </w:rPr>
        <w:t>Th</w:t>
      </w:r>
      <w:r w:rsidR="00522982">
        <w:rPr>
          <w:noProof/>
        </w:rPr>
        <w:t>e</w:t>
      </w:r>
      <w:r w:rsidRPr="00814C1E">
        <w:rPr>
          <w:noProof/>
        </w:rPr>
        <w:t xml:space="preserve"> proposal </w:t>
      </w:r>
      <w:r w:rsidR="561F7AB9" w:rsidRPr="00814C1E">
        <w:rPr>
          <w:noProof/>
        </w:rPr>
        <w:t>is</w:t>
      </w:r>
      <w:r w:rsidRPr="00814C1E">
        <w:rPr>
          <w:noProof/>
        </w:rPr>
        <w:t xml:space="preserve"> based on evidence and input received </w:t>
      </w:r>
      <w:r w:rsidR="2AC434F6" w:rsidRPr="00814C1E">
        <w:rPr>
          <w:noProof/>
        </w:rPr>
        <w:t>from</w:t>
      </w:r>
      <w:r w:rsidRPr="00814C1E">
        <w:rPr>
          <w:noProof/>
        </w:rPr>
        <w:t xml:space="preserve"> stud</w:t>
      </w:r>
      <w:r w:rsidR="2AC434F6" w:rsidRPr="00814C1E">
        <w:rPr>
          <w:noProof/>
        </w:rPr>
        <w:t>ies and reports</w:t>
      </w:r>
      <w:r w:rsidR="00733F22">
        <w:rPr>
          <w:noProof/>
        </w:rPr>
        <w:t>: ECORYS</w:t>
      </w:r>
      <w:r w:rsidR="004C4B3A">
        <w:rPr>
          <w:noProof/>
        </w:rPr>
        <w:t xml:space="preserve"> comprehensive</w:t>
      </w:r>
      <w:r w:rsidR="00733F22">
        <w:rPr>
          <w:noProof/>
        </w:rPr>
        <w:t xml:space="preserve"> literature review and online survey, including consultations meetings and focus groups</w:t>
      </w:r>
      <w:r w:rsidR="004C4B3A">
        <w:rPr>
          <w:rStyle w:val="Allmrkuseviide"/>
          <w:noProof/>
        </w:rPr>
        <w:footnoteReference w:id="39"/>
      </w:r>
      <w:r w:rsidR="004C4B3A">
        <w:rPr>
          <w:noProof/>
        </w:rPr>
        <w:t>;</w:t>
      </w:r>
      <w:r w:rsidR="00733F22">
        <w:rPr>
          <w:noProof/>
        </w:rPr>
        <w:t xml:space="preserve"> OECD evidence review on academic careers</w:t>
      </w:r>
      <w:r w:rsidR="004C4B3A">
        <w:rPr>
          <w:rStyle w:val="Allmrkuseviide"/>
          <w:noProof/>
        </w:rPr>
        <w:footnoteReference w:id="40"/>
      </w:r>
      <w:r w:rsidR="00733F22">
        <w:rPr>
          <w:noProof/>
        </w:rPr>
        <w:t xml:space="preserve">, and </w:t>
      </w:r>
      <w:r w:rsidR="004C4B3A">
        <w:rPr>
          <w:noProof/>
        </w:rPr>
        <w:t>a complementary review on wellbeing of academic staff conducted by NESET</w:t>
      </w:r>
      <w:r w:rsidR="004C4B3A">
        <w:rPr>
          <w:rStyle w:val="Allmrkuseviide"/>
          <w:noProof/>
        </w:rPr>
        <w:footnoteReference w:id="41"/>
      </w:r>
      <w:r w:rsidR="004C4B3A">
        <w:rPr>
          <w:noProof/>
        </w:rPr>
        <w:t>.</w:t>
      </w:r>
    </w:p>
    <w:p w14:paraId="0CF825D9" w14:textId="77777777" w:rsidR="00EF75EC" w:rsidRPr="00814C1E" w:rsidRDefault="06A75839" w:rsidP="00786BFD">
      <w:pPr>
        <w:rPr>
          <w:noProof/>
        </w:rPr>
      </w:pPr>
      <w:r w:rsidRPr="00814C1E">
        <w:rPr>
          <w:noProof/>
        </w:rPr>
        <w:t>I</w:t>
      </w:r>
      <w:r w:rsidR="00455ACB">
        <w:rPr>
          <w:noProof/>
        </w:rPr>
        <w:t>nputs</w:t>
      </w:r>
      <w:r w:rsidRPr="00814C1E">
        <w:rPr>
          <w:noProof/>
        </w:rPr>
        <w:t xml:space="preserve"> </w:t>
      </w:r>
      <w:r w:rsidR="00455ACB">
        <w:rPr>
          <w:noProof/>
        </w:rPr>
        <w:t xml:space="preserve">based on </w:t>
      </w:r>
      <w:r w:rsidRPr="00814C1E">
        <w:rPr>
          <w:noProof/>
        </w:rPr>
        <w:t>Erasmus+ funded projects involving stakeholders organisations</w:t>
      </w:r>
      <w:r w:rsidR="00492B2C">
        <w:rPr>
          <w:noProof/>
        </w:rPr>
        <w:t xml:space="preserve"> also provided input</w:t>
      </w:r>
      <w:r w:rsidRPr="00814C1E">
        <w:rPr>
          <w:noProof/>
        </w:rPr>
        <w:t>: the LOTUS project</w:t>
      </w:r>
      <w:r w:rsidR="00AB26B1" w:rsidRPr="00814C1E">
        <w:rPr>
          <w:rStyle w:val="Allmrkuseviide"/>
          <w:noProof/>
        </w:rPr>
        <w:footnoteReference w:id="42"/>
      </w:r>
      <w:r w:rsidRPr="00814C1E">
        <w:rPr>
          <w:noProof/>
        </w:rPr>
        <w:t xml:space="preserve"> coordinated by </w:t>
      </w:r>
      <w:r w:rsidR="14FBA6F4" w:rsidRPr="00814C1E">
        <w:rPr>
          <w:noProof/>
        </w:rPr>
        <w:t xml:space="preserve">the </w:t>
      </w:r>
      <w:r w:rsidRPr="00814C1E">
        <w:rPr>
          <w:noProof/>
        </w:rPr>
        <w:t>EUA</w:t>
      </w:r>
      <w:r w:rsidR="003D32AB">
        <w:rPr>
          <w:noProof/>
        </w:rPr>
        <w:t xml:space="preserve"> </w:t>
      </w:r>
      <w:r w:rsidRPr="00814C1E">
        <w:rPr>
          <w:noProof/>
        </w:rPr>
        <w:t>and the E-note project</w:t>
      </w:r>
      <w:r w:rsidR="00B179C7" w:rsidRPr="00814C1E">
        <w:rPr>
          <w:rStyle w:val="Allmrkuseviide"/>
          <w:noProof/>
        </w:rPr>
        <w:footnoteReference w:id="43"/>
      </w:r>
      <w:r w:rsidRPr="00814C1E">
        <w:rPr>
          <w:noProof/>
        </w:rPr>
        <w:t>.</w:t>
      </w:r>
    </w:p>
    <w:p w14:paraId="26D0BE11" w14:textId="77777777" w:rsidR="00687B11" w:rsidRPr="00814C1E" w:rsidRDefault="00687B11" w:rsidP="00B918A1">
      <w:pPr>
        <w:pStyle w:val="ManualHeading2"/>
        <w:rPr>
          <w:noProof/>
          <w:u w:color="000000"/>
          <w:bdr w:val="nil"/>
          <w:lang w:val="en-US" w:eastAsia="en-GB"/>
        </w:rPr>
      </w:pPr>
      <w:r>
        <w:rPr>
          <w:noProof/>
        </w:rPr>
        <w:t>3.3.</w:t>
      </w:r>
      <w:r>
        <w:rPr>
          <w:noProof/>
        </w:rPr>
        <w:tab/>
      </w:r>
      <w:r w:rsidRPr="00814C1E">
        <w:rPr>
          <w:noProof/>
          <w:u w:color="000000"/>
          <w:bdr w:val="nil"/>
          <w:lang w:val="en-US" w:eastAsia="en-GB"/>
        </w:rPr>
        <w:t>Impact assessment</w:t>
      </w:r>
    </w:p>
    <w:p w14:paraId="3118498D" w14:textId="77777777" w:rsidR="00801AD2" w:rsidRPr="00814C1E" w:rsidRDefault="00801AD2">
      <w:pPr>
        <w:pBdr>
          <w:top w:val="nil"/>
          <w:left w:val="nil"/>
          <w:bottom w:val="nil"/>
          <w:right w:val="nil"/>
          <w:between w:val="nil"/>
          <w:bar w:val="nil"/>
        </w:pBdr>
        <w:spacing w:before="0" w:after="240"/>
        <w:rPr>
          <w:rFonts w:eastAsia="Arial Unicode MS"/>
          <w:noProof/>
        </w:rPr>
      </w:pPr>
      <w:r w:rsidRPr="00814C1E">
        <w:rPr>
          <w:noProof/>
        </w:rPr>
        <w:t xml:space="preserve">An impact assessment was not carried out, given the voluntary nature of the proposed activities and the scope of the impacts expected. The development of the proposal was informed by </w:t>
      </w:r>
      <w:r w:rsidR="000B0BAF" w:rsidRPr="00814C1E">
        <w:rPr>
          <w:noProof/>
        </w:rPr>
        <w:t xml:space="preserve">prior </w:t>
      </w:r>
      <w:r w:rsidRPr="00814C1E">
        <w:rPr>
          <w:noProof/>
        </w:rPr>
        <w:t>studies, consultation</w:t>
      </w:r>
      <w:r w:rsidR="007A2CE3">
        <w:rPr>
          <w:noProof/>
        </w:rPr>
        <w:t>s with stakeholders and M</w:t>
      </w:r>
      <w:r w:rsidRPr="00814C1E">
        <w:rPr>
          <w:noProof/>
        </w:rPr>
        <w:t>ember States,</w:t>
      </w:r>
      <w:r w:rsidR="007A2CE3">
        <w:rPr>
          <w:noProof/>
        </w:rPr>
        <w:t xml:space="preserve"> and</w:t>
      </w:r>
      <w:r w:rsidRPr="00814C1E">
        <w:rPr>
          <w:noProof/>
        </w:rPr>
        <w:t xml:space="preserve"> </w:t>
      </w:r>
      <w:r w:rsidR="000B0BAF" w:rsidRPr="00814C1E">
        <w:rPr>
          <w:noProof/>
        </w:rPr>
        <w:t xml:space="preserve">a </w:t>
      </w:r>
      <w:r w:rsidR="009E7C8B" w:rsidRPr="00814C1E">
        <w:rPr>
          <w:noProof/>
        </w:rPr>
        <w:t>call for</w:t>
      </w:r>
      <w:r w:rsidR="007A2CE3">
        <w:rPr>
          <w:noProof/>
        </w:rPr>
        <w:t xml:space="preserve"> evidence</w:t>
      </w:r>
      <w:r w:rsidRPr="00814C1E">
        <w:rPr>
          <w:noProof/>
        </w:rPr>
        <w:t>.</w:t>
      </w:r>
    </w:p>
    <w:p w14:paraId="0BCA629E" w14:textId="77777777" w:rsidR="00687B11" w:rsidRPr="00814C1E" w:rsidRDefault="00687B11" w:rsidP="00B918A1">
      <w:pPr>
        <w:pStyle w:val="ManualHeading2"/>
        <w:rPr>
          <w:noProof/>
          <w:u w:color="000000"/>
          <w:bdr w:val="nil"/>
          <w:lang w:val="en-US" w:eastAsia="en-GB"/>
        </w:rPr>
      </w:pPr>
      <w:r>
        <w:rPr>
          <w:noProof/>
        </w:rPr>
        <w:t>3.4.</w:t>
      </w:r>
      <w:r>
        <w:rPr>
          <w:noProof/>
        </w:rPr>
        <w:tab/>
      </w:r>
      <w:r w:rsidRPr="00814C1E">
        <w:rPr>
          <w:noProof/>
          <w:u w:color="000000"/>
          <w:bdr w:val="nil"/>
          <w:lang w:val="en-US" w:eastAsia="en-GB"/>
        </w:rPr>
        <w:t>Fundamental rights</w:t>
      </w:r>
    </w:p>
    <w:p w14:paraId="6E360A4F" w14:textId="77777777" w:rsidR="00801AD2" w:rsidRPr="00814C1E" w:rsidRDefault="2727BED0" w:rsidP="00EF170D">
      <w:pPr>
        <w:pBdr>
          <w:top w:val="nil"/>
          <w:left w:val="nil"/>
          <w:bottom w:val="nil"/>
          <w:right w:val="nil"/>
          <w:between w:val="nil"/>
          <w:bar w:val="nil"/>
        </w:pBdr>
        <w:spacing w:before="0"/>
        <w:rPr>
          <w:noProof/>
        </w:rPr>
      </w:pPr>
      <w:r w:rsidRPr="00814C1E">
        <w:rPr>
          <w:noProof/>
        </w:rPr>
        <w:t>Th</w:t>
      </w:r>
      <w:r w:rsidR="00522982">
        <w:rPr>
          <w:noProof/>
        </w:rPr>
        <w:t>e</w:t>
      </w:r>
      <w:r w:rsidRPr="00814C1E">
        <w:rPr>
          <w:noProof/>
        </w:rPr>
        <w:t xml:space="preserve"> </w:t>
      </w:r>
      <w:r w:rsidR="007A2CE3">
        <w:rPr>
          <w:noProof/>
        </w:rPr>
        <w:t>proposal</w:t>
      </w:r>
      <w:r w:rsidRPr="00814C1E">
        <w:rPr>
          <w:noProof/>
        </w:rPr>
        <w:t xml:space="preserve"> respects the principles recognised by the Charter of Fundamental Rights of the European Union</w:t>
      </w:r>
      <w:r w:rsidR="00125A21" w:rsidRPr="00814C1E">
        <w:rPr>
          <w:rStyle w:val="Allmrkuseviide"/>
          <w:noProof/>
        </w:rPr>
        <w:footnoteReference w:id="44"/>
      </w:r>
      <w:r w:rsidRPr="00814C1E">
        <w:rPr>
          <w:noProof/>
        </w:rPr>
        <w:t xml:space="preserve">, namely the right </w:t>
      </w:r>
      <w:r w:rsidR="7E43CAA3" w:rsidRPr="00814C1E">
        <w:rPr>
          <w:noProof/>
        </w:rPr>
        <w:t>to</w:t>
      </w:r>
      <w:r w:rsidRPr="00814C1E">
        <w:rPr>
          <w:noProof/>
        </w:rPr>
        <w:t xml:space="preserve"> education under Article 14</w:t>
      </w:r>
      <w:r w:rsidR="058A51D7" w:rsidRPr="00814C1E">
        <w:rPr>
          <w:noProof/>
        </w:rPr>
        <w:t xml:space="preserve">, the respect </w:t>
      </w:r>
      <w:r w:rsidR="4F677344" w:rsidRPr="00814C1E">
        <w:rPr>
          <w:noProof/>
        </w:rPr>
        <w:t xml:space="preserve">for the </w:t>
      </w:r>
      <w:r w:rsidR="058A51D7" w:rsidRPr="00814C1E">
        <w:rPr>
          <w:noProof/>
        </w:rPr>
        <w:t xml:space="preserve">arts and scientific </w:t>
      </w:r>
      <w:r w:rsidR="7E9928F8" w:rsidRPr="00814C1E">
        <w:rPr>
          <w:noProof/>
        </w:rPr>
        <w:t xml:space="preserve">and academic </w:t>
      </w:r>
      <w:r w:rsidR="058A51D7" w:rsidRPr="00814C1E">
        <w:rPr>
          <w:noProof/>
        </w:rPr>
        <w:t xml:space="preserve">freedom under </w:t>
      </w:r>
      <w:r w:rsidR="7E43CAA3" w:rsidRPr="00814C1E">
        <w:rPr>
          <w:noProof/>
        </w:rPr>
        <w:t>A</w:t>
      </w:r>
      <w:r w:rsidR="058A51D7" w:rsidRPr="00814C1E">
        <w:rPr>
          <w:noProof/>
        </w:rPr>
        <w:t>rticle 13,</w:t>
      </w:r>
      <w:r w:rsidR="00293F01">
        <w:rPr>
          <w:noProof/>
        </w:rPr>
        <w:t xml:space="preserve"> non-discrimination under Article 21,</w:t>
      </w:r>
      <w:r w:rsidR="058A51D7" w:rsidRPr="00814C1E">
        <w:rPr>
          <w:noProof/>
        </w:rPr>
        <w:t xml:space="preserve"> </w:t>
      </w:r>
      <w:r w:rsidR="007A2CE3">
        <w:rPr>
          <w:noProof/>
        </w:rPr>
        <w:lastRenderedPageBreak/>
        <w:t>equality between women and men under Article 23, and the right to fair and just working conditions under Article 31</w:t>
      </w:r>
      <w:r w:rsidR="56FA02DD" w:rsidRPr="00814C1E">
        <w:rPr>
          <w:noProof/>
        </w:rPr>
        <w:t xml:space="preserve">. </w:t>
      </w:r>
    </w:p>
    <w:p w14:paraId="2A365A68" w14:textId="77777777" w:rsidR="00687B11" w:rsidRPr="00814C1E" w:rsidRDefault="00687B11" w:rsidP="00B918A1">
      <w:pPr>
        <w:pStyle w:val="ManualHeading1"/>
        <w:rPr>
          <w:noProof/>
        </w:rPr>
      </w:pPr>
      <w:r>
        <w:rPr>
          <w:noProof/>
        </w:rPr>
        <w:t>4.</w:t>
      </w:r>
      <w:r>
        <w:rPr>
          <w:noProof/>
        </w:rPr>
        <w:tab/>
      </w:r>
      <w:r w:rsidRPr="00814C1E">
        <w:rPr>
          <w:noProof/>
        </w:rPr>
        <w:t>BUDGETARY IMPLICATIONS</w:t>
      </w:r>
    </w:p>
    <w:p w14:paraId="02371C3B" w14:textId="77777777" w:rsidR="00801AD2" w:rsidRPr="00814C1E" w:rsidRDefault="00801AD2">
      <w:pPr>
        <w:pBdr>
          <w:top w:val="nil"/>
          <w:left w:val="nil"/>
          <w:bottom w:val="nil"/>
          <w:right w:val="nil"/>
          <w:between w:val="nil"/>
          <w:bar w:val="nil"/>
        </w:pBdr>
        <w:spacing w:before="0" w:after="240"/>
        <w:rPr>
          <w:rFonts w:eastAsia="Arial Unicode MS"/>
          <w:noProof/>
        </w:rPr>
      </w:pPr>
      <w:r w:rsidRPr="00814C1E">
        <w:rPr>
          <w:noProof/>
        </w:rPr>
        <w:t>While this initiative will not require additional resources from the EU budget, the measures in this recommendation will mobilise sources of funding at EU, national and regional level.</w:t>
      </w:r>
    </w:p>
    <w:p w14:paraId="1742ABBF" w14:textId="77777777" w:rsidR="00687B11" w:rsidRPr="00814C1E" w:rsidRDefault="00687B11" w:rsidP="00B918A1">
      <w:pPr>
        <w:pStyle w:val="ManualHeading1"/>
        <w:rPr>
          <w:noProof/>
        </w:rPr>
      </w:pPr>
      <w:r>
        <w:rPr>
          <w:noProof/>
        </w:rPr>
        <w:t>5.</w:t>
      </w:r>
      <w:r>
        <w:rPr>
          <w:noProof/>
        </w:rPr>
        <w:tab/>
      </w:r>
      <w:r w:rsidRPr="00814C1E">
        <w:rPr>
          <w:noProof/>
        </w:rPr>
        <w:t>OTHER ELEMENTS</w:t>
      </w:r>
    </w:p>
    <w:p w14:paraId="73C38D96" w14:textId="77777777" w:rsidR="00687B11" w:rsidRPr="00814C1E" w:rsidRDefault="00687B11" w:rsidP="00466548">
      <w:pPr>
        <w:rPr>
          <w:b/>
          <w:bCs/>
          <w:noProof/>
          <w:u w:color="000000"/>
          <w:bdr w:val="nil"/>
          <w:lang w:val="en-US" w:eastAsia="en-GB"/>
        </w:rPr>
      </w:pPr>
      <w:r w:rsidRPr="00814C1E">
        <w:rPr>
          <w:b/>
          <w:bCs/>
          <w:noProof/>
          <w:u w:color="000000"/>
          <w:bdr w:val="nil"/>
          <w:lang w:val="en-US" w:eastAsia="en-GB"/>
        </w:rPr>
        <w:t xml:space="preserve">Implementation plans and monitoring, </w:t>
      </w:r>
      <w:r w:rsidR="00A57AE4" w:rsidRPr="00814C1E">
        <w:rPr>
          <w:b/>
          <w:bCs/>
          <w:noProof/>
          <w:u w:color="000000"/>
          <w:bdr w:val="nil"/>
          <w:lang w:val="en-US" w:eastAsia="en-GB"/>
        </w:rPr>
        <w:t>evaluation,</w:t>
      </w:r>
      <w:r w:rsidRPr="00814C1E">
        <w:rPr>
          <w:b/>
          <w:bCs/>
          <w:noProof/>
          <w:u w:color="000000"/>
          <w:bdr w:val="nil"/>
          <w:lang w:val="en-US" w:eastAsia="en-GB"/>
        </w:rPr>
        <w:t xml:space="preserve"> and reporting arrangements</w:t>
      </w:r>
    </w:p>
    <w:p w14:paraId="301BA41C" w14:textId="76FED8D6" w:rsidR="00574202" w:rsidRPr="00814C1E" w:rsidRDefault="00574202" w:rsidP="00574202">
      <w:pPr>
        <w:rPr>
          <w:noProof/>
        </w:rPr>
      </w:pPr>
      <w:r w:rsidRPr="00814C1E">
        <w:rPr>
          <w:noProof/>
        </w:rPr>
        <w:t xml:space="preserve">The Commission </w:t>
      </w:r>
      <w:r>
        <w:rPr>
          <w:noProof/>
        </w:rPr>
        <w:t>intends to</w:t>
      </w:r>
      <w:r w:rsidRPr="00814C1E">
        <w:rPr>
          <w:noProof/>
        </w:rPr>
        <w:t xml:space="preserve">: </w:t>
      </w:r>
    </w:p>
    <w:p w14:paraId="2F73A050" w14:textId="77777777" w:rsidR="00574202" w:rsidRPr="00814C1E" w:rsidRDefault="003D32AB" w:rsidP="008850E7">
      <w:pPr>
        <w:pStyle w:val="Bullet1"/>
        <w:numPr>
          <w:ilvl w:val="0"/>
          <w:numId w:val="6"/>
        </w:numPr>
        <w:spacing w:before="0" w:after="0"/>
        <w:ind w:left="570"/>
        <w:rPr>
          <w:noProof/>
        </w:rPr>
      </w:pPr>
      <w:r w:rsidRPr="009828AB">
        <w:rPr>
          <w:bCs/>
          <w:noProof/>
        </w:rPr>
        <w:t>F</w:t>
      </w:r>
      <w:r w:rsidR="201B20A3" w:rsidRPr="009828AB">
        <w:rPr>
          <w:bCs/>
          <w:noProof/>
        </w:rPr>
        <w:t>acilitate peer learning</w:t>
      </w:r>
      <w:r w:rsidR="201B20A3" w:rsidRPr="00814C1E">
        <w:rPr>
          <w:noProof/>
        </w:rPr>
        <w:t xml:space="preserve"> among Member States, higher education </w:t>
      </w:r>
      <w:r w:rsidR="00E506C8">
        <w:rPr>
          <w:noProof/>
        </w:rPr>
        <w:t xml:space="preserve">institutions and </w:t>
      </w:r>
      <w:r w:rsidR="201B20A3" w:rsidRPr="00814C1E">
        <w:rPr>
          <w:noProof/>
        </w:rPr>
        <w:t>stakeholders</w:t>
      </w:r>
      <w:r w:rsidR="00E506C8">
        <w:rPr>
          <w:noProof/>
        </w:rPr>
        <w:t>, including</w:t>
      </w:r>
      <w:r w:rsidR="201B20A3" w:rsidRPr="00814C1E">
        <w:rPr>
          <w:noProof/>
        </w:rPr>
        <w:t xml:space="preserve"> European </w:t>
      </w:r>
      <w:r w:rsidR="4E221D53" w:rsidRPr="00814C1E">
        <w:rPr>
          <w:noProof/>
        </w:rPr>
        <w:t>U</w:t>
      </w:r>
      <w:r w:rsidR="201B20A3" w:rsidRPr="00814C1E">
        <w:rPr>
          <w:noProof/>
        </w:rPr>
        <w:t>niversities alliances on</w:t>
      </w:r>
      <w:r w:rsidR="004166E2">
        <w:rPr>
          <w:noProof/>
        </w:rPr>
        <w:t xml:space="preserve"> </w:t>
      </w:r>
      <w:r w:rsidR="00ED750D">
        <w:rPr>
          <w:noProof/>
        </w:rPr>
        <w:t>t</w:t>
      </w:r>
      <w:r w:rsidR="201B20A3" w:rsidRPr="00814C1E">
        <w:rPr>
          <w:noProof/>
        </w:rPr>
        <w:t xml:space="preserve">eaching </w:t>
      </w:r>
      <w:r w:rsidR="00D9374F" w:rsidRPr="00814C1E">
        <w:rPr>
          <w:noProof/>
        </w:rPr>
        <w:t>enhancement</w:t>
      </w:r>
      <w:r w:rsidR="00D9374F">
        <w:rPr>
          <w:noProof/>
        </w:rPr>
        <w:t xml:space="preserve">; </w:t>
      </w:r>
      <w:r w:rsidR="00D9374F" w:rsidRPr="00814C1E">
        <w:rPr>
          <w:noProof/>
        </w:rPr>
        <w:t>mechanisms</w:t>
      </w:r>
      <w:r w:rsidR="00335620" w:rsidRPr="00814C1E">
        <w:rPr>
          <w:noProof/>
        </w:rPr>
        <w:t xml:space="preserve"> </w:t>
      </w:r>
      <w:r w:rsidR="00522982">
        <w:rPr>
          <w:noProof/>
        </w:rPr>
        <w:t>ensuring</w:t>
      </w:r>
      <w:r w:rsidR="004166E2">
        <w:rPr>
          <w:noProof/>
        </w:rPr>
        <w:t xml:space="preserve"> the</w:t>
      </w:r>
      <w:r w:rsidR="00335620" w:rsidRPr="00814C1E">
        <w:rPr>
          <w:noProof/>
        </w:rPr>
        <w:t xml:space="preserve"> recognition of</w:t>
      </w:r>
      <w:r w:rsidR="002E3DE8">
        <w:rPr>
          <w:noProof/>
        </w:rPr>
        <w:t xml:space="preserve"> teaching and involvement</w:t>
      </w:r>
      <w:r w:rsidR="00335620" w:rsidRPr="00814C1E">
        <w:rPr>
          <w:noProof/>
        </w:rPr>
        <w:t xml:space="preserve"> in transnational cooperation activities</w:t>
      </w:r>
      <w:r w:rsidR="00057C16">
        <w:rPr>
          <w:noProof/>
        </w:rPr>
        <w:t>,</w:t>
      </w:r>
      <w:r w:rsidR="004166E2">
        <w:rPr>
          <w:noProof/>
        </w:rPr>
        <w:t xml:space="preserve"> </w:t>
      </w:r>
      <w:r w:rsidR="00ED750D">
        <w:rPr>
          <w:noProof/>
        </w:rPr>
        <w:t xml:space="preserve">and </w:t>
      </w:r>
      <w:r w:rsidR="00BD31B2" w:rsidRPr="00814C1E">
        <w:rPr>
          <w:noProof/>
        </w:rPr>
        <w:t>providing</w:t>
      </w:r>
      <w:r w:rsidR="00335620" w:rsidRPr="00814C1E">
        <w:rPr>
          <w:noProof/>
        </w:rPr>
        <w:t xml:space="preserve"> sustainable career </w:t>
      </w:r>
      <w:r w:rsidR="004166E2">
        <w:rPr>
          <w:noProof/>
        </w:rPr>
        <w:t>pathways</w:t>
      </w:r>
      <w:r w:rsidR="004166E2" w:rsidRPr="00814C1E">
        <w:rPr>
          <w:noProof/>
        </w:rPr>
        <w:t xml:space="preserve"> </w:t>
      </w:r>
      <w:r w:rsidR="00335620" w:rsidRPr="00814C1E">
        <w:rPr>
          <w:noProof/>
        </w:rPr>
        <w:t xml:space="preserve">and appropriate talent management measures for academic staff and </w:t>
      </w:r>
      <w:r w:rsidR="002E3DE8">
        <w:rPr>
          <w:noProof/>
        </w:rPr>
        <w:t xml:space="preserve">professional services </w:t>
      </w:r>
      <w:r w:rsidR="00335620" w:rsidRPr="00814C1E">
        <w:rPr>
          <w:noProof/>
        </w:rPr>
        <w:t>staff</w:t>
      </w:r>
      <w:r w:rsidR="00EF170D" w:rsidRPr="00814C1E">
        <w:rPr>
          <w:noProof/>
        </w:rPr>
        <w:t>.</w:t>
      </w:r>
    </w:p>
    <w:p w14:paraId="01D9E440" w14:textId="29D17A96" w:rsidR="00100840" w:rsidRPr="009828AB" w:rsidRDefault="003D32AB" w:rsidP="008850E7">
      <w:pPr>
        <w:pStyle w:val="Bullet1"/>
        <w:numPr>
          <w:ilvl w:val="0"/>
          <w:numId w:val="6"/>
        </w:numPr>
        <w:spacing w:before="0" w:after="0"/>
        <w:ind w:left="567"/>
        <w:rPr>
          <w:bCs/>
          <w:noProof/>
        </w:rPr>
      </w:pPr>
      <w:bookmarkStart w:id="13" w:name="_Hlk157433693"/>
      <w:r w:rsidRPr="009828AB">
        <w:rPr>
          <w:bCs/>
          <w:noProof/>
        </w:rPr>
        <w:t>F</w:t>
      </w:r>
      <w:r w:rsidR="001616DF" w:rsidRPr="009828AB">
        <w:rPr>
          <w:bCs/>
          <w:noProof/>
        </w:rPr>
        <w:t>oster synergies</w:t>
      </w:r>
      <w:r w:rsidR="008A7D3A" w:rsidRPr="009828AB">
        <w:rPr>
          <w:bCs/>
          <w:noProof/>
        </w:rPr>
        <w:t xml:space="preserve"> between this </w:t>
      </w:r>
      <w:r w:rsidR="00091F33" w:rsidRPr="009828AB">
        <w:rPr>
          <w:bCs/>
          <w:noProof/>
        </w:rPr>
        <w:t>proposal</w:t>
      </w:r>
      <w:r w:rsidR="008A7D3A" w:rsidRPr="009828AB">
        <w:rPr>
          <w:bCs/>
          <w:noProof/>
        </w:rPr>
        <w:t xml:space="preserve"> and the</w:t>
      </w:r>
      <w:r w:rsidR="001616DF" w:rsidRPr="009828AB">
        <w:rPr>
          <w:bCs/>
          <w:noProof/>
        </w:rPr>
        <w:t xml:space="preserve"> </w:t>
      </w:r>
      <w:r w:rsidR="008A7D3A" w:rsidRPr="009828AB">
        <w:rPr>
          <w:bCs/>
          <w:noProof/>
        </w:rPr>
        <w:t>Council Recommendation on establishing a European Framework to attract and retain research, innovation, and entrepreneurial talents in Europe</w:t>
      </w:r>
      <w:r w:rsidR="004166E2" w:rsidRPr="009828AB">
        <w:rPr>
          <w:bCs/>
          <w:noProof/>
        </w:rPr>
        <w:t xml:space="preserve">. This </w:t>
      </w:r>
      <w:r>
        <w:rPr>
          <w:bCs/>
          <w:noProof/>
        </w:rPr>
        <w:t>could</w:t>
      </w:r>
      <w:r w:rsidR="00B57D4A" w:rsidRPr="009828AB">
        <w:rPr>
          <w:bCs/>
          <w:noProof/>
        </w:rPr>
        <w:t xml:space="preserve"> </w:t>
      </w:r>
      <w:r w:rsidR="004166E2" w:rsidRPr="009828AB">
        <w:rPr>
          <w:bCs/>
          <w:noProof/>
        </w:rPr>
        <w:t>help</w:t>
      </w:r>
      <w:r w:rsidR="008A7D3A" w:rsidRPr="009828AB">
        <w:rPr>
          <w:bCs/>
          <w:noProof/>
        </w:rPr>
        <w:t xml:space="preserve"> to ensure</w:t>
      </w:r>
      <w:r w:rsidR="004166E2" w:rsidRPr="009828AB">
        <w:rPr>
          <w:bCs/>
          <w:noProof/>
        </w:rPr>
        <w:t xml:space="preserve"> </w:t>
      </w:r>
      <w:r w:rsidR="008A7D3A" w:rsidRPr="009828AB">
        <w:rPr>
          <w:bCs/>
          <w:noProof/>
        </w:rPr>
        <w:t>improved and consistent careers</w:t>
      </w:r>
      <w:r w:rsidR="004166E2" w:rsidRPr="009828AB">
        <w:rPr>
          <w:bCs/>
          <w:noProof/>
        </w:rPr>
        <w:t xml:space="preserve"> </w:t>
      </w:r>
      <w:r w:rsidR="001616DF" w:rsidRPr="009828AB">
        <w:rPr>
          <w:bCs/>
          <w:noProof/>
        </w:rPr>
        <w:t xml:space="preserve">for academic staff </w:t>
      </w:r>
      <w:r w:rsidR="00091F33" w:rsidRPr="009828AB">
        <w:rPr>
          <w:bCs/>
          <w:noProof/>
        </w:rPr>
        <w:t xml:space="preserve">working </w:t>
      </w:r>
      <w:r w:rsidR="001616DF" w:rsidRPr="009828AB">
        <w:rPr>
          <w:bCs/>
          <w:noProof/>
        </w:rPr>
        <w:t>at higher education and research institutions</w:t>
      </w:r>
      <w:r w:rsidR="00EF170D" w:rsidRPr="009828AB">
        <w:rPr>
          <w:bCs/>
          <w:noProof/>
        </w:rPr>
        <w:t>.</w:t>
      </w:r>
    </w:p>
    <w:bookmarkEnd w:id="13"/>
    <w:p w14:paraId="5FF19A96" w14:textId="35627A0A" w:rsidR="00AD086A" w:rsidRPr="00AD086A" w:rsidRDefault="003D32AB">
      <w:pPr>
        <w:pStyle w:val="Bullet1"/>
        <w:numPr>
          <w:ilvl w:val="0"/>
          <w:numId w:val="6"/>
        </w:numPr>
        <w:spacing w:before="0" w:after="200" w:line="276" w:lineRule="auto"/>
        <w:ind w:left="567"/>
        <w:jc w:val="left"/>
        <w:rPr>
          <w:noProof/>
        </w:rPr>
      </w:pPr>
      <w:r w:rsidRPr="00AD086A">
        <w:rPr>
          <w:bCs/>
          <w:noProof/>
        </w:rPr>
        <w:t>F</w:t>
      </w:r>
      <w:r w:rsidR="001616DF" w:rsidRPr="00AD086A">
        <w:rPr>
          <w:bCs/>
          <w:noProof/>
        </w:rPr>
        <w:t xml:space="preserve">acilitate evidence-based policy and monitoring progress of </w:t>
      </w:r>
      <w:r w:rsidR="008A7D3A" w:rsidRPr="00AD086A">
        <w:rPr>
          <w:bCs/>
          <w:noProof/>
        </w:rPr>
        <w:t xml:space="preserve">this </w:t>
      </w:r>
      <w:r w:rsidR="004166E2" w:rsidRPr="00AD086A">
        <w:rPr>
          <w:bCs/>
          <w:noProof/>
        </w:rPr>
        <w:t xml:space="preserve">proposal </w:t>
      </w:r>
      <w:r w:rsidR="001616DF" w:rsidRPr="00AD086A">
        <w:rPr>
          <w:bCs/>
          <w:noProof/>
        </w:rPr>
        <w:t xml:space="preserve">by mapping, through the European Higher Education Sector Observatory, existing data on higher education career and staffing policy at European, </w:t>
      </w:r>
      <w:r w:rsidR="00A57AE4" w:rsidRPr="00AD086A">
        <w:rPr>
          <w:bCs/>
          <w:noProof/>
        </w:rPr>
        <w:t>national,</w:t>
      </w:r>
      <w:r w:rsidR="001616DF" w:rsidRPr="00AD086A">
        <w:rPr>
          <w:bCs/>
          <w:noProof/>
        </w:rPr>
        <w:t xml:space="preserve"> and institutional</w:t>
      </w:r>
      <w:r w:rsidR="00100840" w:rsidRPr="00AD086A">
        <w:rPr>
          <w:bCs/>
          <w:noProof/>
        </w:rPr>
        <w:t xml:space="preserve"> </w:t>
      </w:r>
      <w:r w:rsidR="001616DF" w:rsidRPr="00AD086A">
        <w:rPr>
          <w:bCs/>
          <w:noProof/>
        </w:rPr>
        <w:t>levels</w:t>
      </w:r>
      <w:r w:rsidR="004166E2" w:rsidRPr="00AD086A">
        <w:rPr>
          <w:bCs/>
          <w:noProof/>
        </w:rPr>
        <w:t xml:space="preserve">. </w:t>
      </w:r>
      <w:r>
        <w:rPr>
          <w:bCs/>
          <w:noProof/>
        </w:rPr>
        <w:t xml:space="preserve">The Commission </w:t>
      </w:r>
      <w:r w:rsidR="004166E2" w:rsidRPr="00AD086A">
        <w:rPr>
          <w:bCs/>
          <w:noProof/>
        </w:rPr>
        <w:t>also</w:t>
      </w:r>
      <w:r w:rsidR="001616DF" w:rsidRPr="00AD086A">
        <w:rPr>
          <w:bCs/>
          <w:noProof/>
        </w:rPr>
        <w:t xml:space="preserve"> </w:t>
      </w:r>
      <w:r>
        <w:rPr>
          <w:bCs/>
          <w:noProof/>
        </w:rPr>
        <w:t xml:space="preserve">plans to </w:t>
      </w:r>
      <w:r w:rsidR="001616DF" w:rsidRPr="00AD086A">
        <w:rPr>
          <w:bCs/>
          <w:noProof/>
        </w:rPr>
        <w:t>identify data gaps and needs</w:t>
      </w:r>
      <w:r>
        <w:rPr>
          <w:bCs/>
          <w:noProof/>
        </w:rPr>
        <w:t xml:space="preserve"> and to</w:t>
      </w:r>
      <w:r w:rsidR="008A7D3A" w:rsidRPr="00AD086A">
        <w:rPr>
          <w:bCs/>
          <w:noProof/>
        </w:rPr>
        <w:t xml:space="preserve"> consider relevant links between the European Higher Education Sector Observatory and the observatory on research careers developed </w:t>
      </w:r>
      <w:r w:rsidR="00954594" w:rsidRPr="00AD086A">
        <w:rPr>
          <w:bCs/>
          <w:noProof/>
        </w:rPr>
        <w:t>within</w:t>
      </w:r>
      <w:r w:rsidR="008A7D3A" w:rsidRPr="00AD086A">
        <w:rPr>
          <w:bCs/>
          <w:noProof/>
        </w:rPr>
        <w:t xml:space="preserve"> the European Research Area.</w:t>
      </w:r>
    </w:p>
    <w:p w14:paraId="1DF0978B" w14:textId="77777777" w:rsidR="002401C0" w:rsidRDefault="008E541A" w:rsidP="00497234">
      <w:pPr>
        <w:pStyle w:val="Rfrenceinterinstitutionnelle"/>
        <w:rPr>
          <w:noProof/>
        </w:rPr>
      </w:pPr>
      <w:r>
        <w:rPr>
          <w:noProof/>
        </w:rPr>
        <w:t>2024/0078 (NLE)</w:t>
      </w:r>
    </w:p>
    <w:p w14:paraId="70731596" w14:textId="4238923B" w:rsidR="00EB32C5" w:rsidRPr="00F94C8B" w:rsidRDefault="005F5FFF" w:rsidP="005F5FFF">
      <w:pPr>
        <w:pStyle w:val="Statut"/>
        <w:rPr>
          <w:noProof/>
        </w:rPr>
      </w:pPr>
      <w:r w:rsidRPr="005F5FFF">
        <w:rPr>
          <w:noProof/>
        </w:rPr>
        <w:t>Proposal for a</w:t>
      </w:r>
    </w:p>
    <w:p w14:paraId="0A101C99" w14:textId="5984A8D6" w:rsidR="000452EA" w:rsidRPr="00814C1E" w:rsidRDefault="005F5FFF" w:rsidP="005F5FFF">
      <w:pPr>
        <w:pStyle w:val="Typedudocument"/>
        <w:rPr>
          <w:noProof/>
          <w:lang w:eastAsia="pt-PT"/>
        </w:rPr>
      </w:pPr>
      <w:r w:rsidRPr="005F5FFF">
        <w:rPr>
          <w:noProof/>
        </w:rPr>
        <w:t>COUNCIL RECOMMENDATION</w:t>
      </w:r>
    </w:p>
    <w:p w14:paraId="2725CBDC" w14:textId="35F99323" w:rsidR="00A772C7" w:rsidRDefault="005F5FFF" w:rsidP="005F5FFF">
      <w:pPr>
        <w:pStyle w:val="Titreobjet"/>
        <w:rPr>
          <w:noProof/>
        </w:rPr>
      </w:pPr>
      <w:r w:rsidRPr="005F5FFF">
        <w:rPr>
          <w:noProof/>
        </w:rPr>
        <w:t>on attractive and sustainable careers in higher education</w:t>
      </w:r>
    </w:p>
    <w:p w14:paraId="700A8C30" w14:textId="77777777" w:rsidR="00687B11" w:rsidRPr="008E541A" w:rsidRDefault="00687B11" w:rsidP="00C10CF4">
      <w:pPr>
        <w:pStyle w:val="Institutionquiagit"/>
        <w:rPr>
          <w:b/>
          <w:noProof/>
        </w:rPr>
      </w:pPr>
      <w:r w:rsidRPr="008E541A">
        <w:rPr>
          <w:noProof/>
        </w:rPr>
        <w:t>THE COUNCIL OF THE EUROPEAN UNION</w:t>
      </w:r>
    </w:p>
    <w:p w14:paraId="5FB10266" w14:textId="77777777" w:rsidR="00687B11" w:rsidRPr="00814C1E" w:rsidRDefault="258E7F25">
      <w:pPr>
        <w:rPr>
          <w:noProof/>
        </w:rPr>
      </w:pPr>
      <w:r w:rsidRPr="00814C1E">
        <w:rPr>
          <w:noProof/>
        </w:rPr>
        <w:t xml:space="preserve">Having regard to the Treaty on the Functioning of the European Union, </w:t>
      </w:r>
      <w:r w:rsidR="00E00FA4">
        <w:rPr>
          <w:noProof/>
        </w:rPr>
        <w:t xml:space="preserve">in particular </w:t>
      </w:r>
      <w:r w:rsidR="006C5FDA" w:rsidRPr="00222D4A">
        <w:rPr>
          <w:noProof/>
        </w:rPr>
        <w:t>Article 292 in conjunction with Article 153(1), point</w:t>
      </w:r>
      <w:r w:rsidR="006C5FDA">
        <w:rPr>
          <w:noProof/>
        </w:rPr>
        <w:t>s</w:t>
      </w:r>
      <w:r w:rsidR="006C5FDA" w:rsidRPr="00222D4A">
        <w:rPr>
          <w:noProof/>
        </w:rPr>
        <w:t xml:space="preserve"> (b)</w:t>
      </w:r>
      <w:r w:rsidR="006C5FDA">
        <w:rPr>
          <w:noProof/>
        </w:rPr>
        <w:t xml:space="preserve"> and (i)</w:t>
      </w:r>
      <w:r w:rsidR="006C5FDA" w:rsidRPr="00222D4A">
        <w:rPr>
          <w:noProof/>
        </w:rPr>
        <w:t>, and</w:t>
      </w:r>
      <w:r w:rsidRPr="008B6C70">
        <w:rPr>
          <w:noProof/>
        </w:rPr>
        <w:t xml:space="preserve"> </w:t>
      </w:r>
      <w:r w:rsidRPr="003F0E7D">
        <w:rPr>
          <w:noProof/>
        </w:rPr>
        <w:t>Article</w:t>
      </w:r>
      <w:r w:rsidR="60134C4C" w:rsidRPr="003F0E7D">
        <w:rPr>
          <w:noProof/>
        </w:rPr>
        <w:t>s</w:t>
      </w:r>
      <w:r w:rsidRPr="003F0E7D">
        <w:rPr>
          <w:noProof/>
        </w:rPr>
        <w:t xml:space="preserve"> </w:t>
      </w:r>
      <w:r w:rsidR="0FB1CCA7" w:rsidRPr="003F0E7D">
        <w:rPr>
          <w:noProof/>
        </w:rPr>
        <w:t>165</w:t>
      </w:r>
      <w:r w:rsidR="00307557" w:rsidRPr="003F0E7D">
        <w:rPr>
          <w:noProof/>
        </w:rPr>
        <w:t>(4)</w:t>
      </w:r>
      <w:r w:rsidR="0FB1CCA7" w:rsidRPr="00814C1E">
        <w:rPr>
          <w:noProof/>
        </w:rPr>
        <w:t xml:space="preserve"> and 166</w:t>
      </w:r>
      <w:r w:rsidR="00307557">
        <w:rPr>
          <w:noProof/>
        </w:rPr>
        <w:t>(4)</w:t>
      </w:r>
      <w:r w:rsidR="0FB1CCA7" w:rsidRPr="00814C1E">
        <w:rPr>
          <w:noProof/>
        </w:rPr>
        <w:t xml:space="preserve"> </w:t>
      </w:r>
      <w:r w:rsidRPr="00814C1E">
        <w:rPr>
          <w:noProof/>
        </w:rPr>
        <w:t>thereof,</w:t>
      </w:r>
    </w:p>
    <w:p w14:paraId="24B5F1BA" w14:textId="77777777" w:rsidR="00687B11" w:rsidRPr="00814C1E" w:rsidRDefault="00687B11">
      <w:pPr>
        <w:rPr>
          <w:noProof/>
        </w:rPr>
      </w:pPr>
      <w:r w:rsidRPr="00814C1E">
        <w:rPr>
          <w:noProof/>
        </w:rPr>
        <w:t>Having regard to the proposal from the European Commission,</w:t>
      </w:r>
    </w:p>
    <w:p w14:paraId="73072AE8" w14:textId="77777777" w:rsidR="00687B11" w:rsidRPr="00814C1E" w:rsidRDefault="00687B11">
      <w:pPr>
        <w:rPr>
          <w:noProof/>
        </w:rPr>
      </w:pPr>
      <w:r w:rsidRPr="00814C1E">
        <w:rPr>
          <w:noProof/>
        </w:rPr>
        <w:t>Whereas:</w:t>
      </w:r>
    </w:p>
    <w:p w14:paraId="75060B47" w14:textId="77777777" w:rsidR="005163D4" w:rsidRPr="00814C1E" w:rsidRDefault="30D79D49" w:rsidP="00B918A1">
      <w:pPr>
        <w:pStyle w:val="ManualConsidrant"/>
        <w:rPr>
          <w:noProof/>
          <w:lang w:val="en-IE"/>
        </w:rPr>
      </w:pPr>
      <w:r>
        <w:rPr>
          <w:noProof/>
        </w:rPr>
        <w:lastRenderedPageBreak/>
        <w:t>(1)</w:t>
      </w:r>
      <w:r>
        <w:rPr>
          <w:noProof/>
        </w:rPr>
        <w:tab/>
      </w:r>
      <w:r w:rsidRPr="00814C1E">
        <w:rPr>
          <w:noProof/>
          <w:lang w:val="en-IE"/>
        </w:rPr>
        <w:t xml:space="preserve">High-quality staff are essential for thriving </w:t>
      </w:r>
      <w:r w:rsidR="00317D2D">
        <w:rPr>
          <w:noProof/>
          <w:lang w:val="en-IE"/>
        </w:rPr>
        <w:t xml:space="preserve">Union </w:t>
      </w:r>
      <w:r w:rsidRPr="00814C1E">
        <w:rPr>
          <w:noProof/>
          <w:lang w:val="en-IE"/>
        </w:rPr>
        <w:t>higher education institutions and deeper transnational cooperation</w:t>
      </w:r>
      <w:r w:rsidR="00317D2D">
        <w:rPr>
          <w:noProof/>
          <w:lang w:val="en-IE"/>
        </w:rPr>
        <w:t xml:space="preserve"> between Member States</w:t>
      </w:r>
      <w:r w:rsidR="006651A7">
        <w:rPr>
          <w:noProof/>
          <w:lang w:val="en-IE"/>
        </w:rPr>
        <w:t>, in line with the European strategy for universities</w:t>
      </w:r>
      <w:r w:rsidR="00C525D0">
        <w:rPr>
          <w:noProof/>
          <w:lang w:val="en-IE"/>
        </w:rPr>
        <w:t>.</w:t>
      </w:r>
      <w:r w:rsidR="00F306B4">
        <w:rPr>
          <w:rStyle w:val="Allmrkuseviide"/>
          <w:noProof/>
          <w:lang w:val="en-IE"/>
        </w:rPr>
        <w:footnoteReference w:id="45"/>
      </w:r>
    </w:p>
    <w:p w14:paraId="03EB8C85" w14:textId="77777777" w:rsidR="00246883" w:rsidRPr="00814C1E" w:rsidRDefault="00FA1E8E" w:rsidP="00B918A1">
      <w:pPr>
        <w:pStyle w:val="ManualConsidrant"/>
        <w:rPr>
          <w:rFonts w:eastAsia="Times New Roman"/>
          <w:noProof/>
          <w:lang w:eastAsia="en-GB"/>
        </w:rPr>
      </w:pPr>
      <w:r>
        <w:rPr>
          <w:noProof/>
        </w:rPr>
        <w:t>(2)</w:t>
      </w:r>
      <w:r>
        <w:rPr>
          <w:noProof/>
        </w:rPr>
        <w:tab/>
      </w:r>
      <w:r w:rsidRPr="00814C1E">
        <w:rPr>
          <w:rFonts w:eastAsia="Times New Roman"/>
          <w:noProof/>
          <w:lang w:eastAsia="en-GB"/>
        </w:rPr>
        <w:t>‘</w:t>
      </w:r>
      <w:r w:rsidR="00490146">
        <w:rPr>
          <w:rFonts w:eastAsia="Times New Roman"/>
          <w:noProof/>
          <w:lang w:eastAsia="en-GB"/>
        </w:rPr>
        <w:t>A</w:t>
      </w:r>
      <w:r w:rsidR="63166C33" w:rsidRPr="00814C1E">
        <w:rPr>
          <w:rFonts w:eastAsia="Times New Roman"/>
          <w:noProof/>
          <w:lang w:eastAsia="en-GB"/>
        </w:rPr>
        <w:t>cademic staff</w:t>
      </w:r>
      <w:r w:rsidRPr="00814C1E">
        <w:rPr>
          <w:rFonts w:eastAsia="Times New Roman"/>
          <w:noProof/>
          <w:lang w:eastAsia="en-GB"/>
        </w:rPr>
        <w:t>’</w:t>
      </w:r>
      <w:r w:rsidR="63166C33" w:rsidRPr="00814C1E">
        <w:rPr>
          <w:rFonts w:eastAsia="Times New Roman"/>
          <w:noProof/>
          <w:lang w:eastAsia="en-GB"/>
        </w:rPr>
        <w:t xml:space="preserve"> in higher education</w:t>
      </w:r>
      <w:r w:rsidR="00490146">
        <w:rPr>
          <w:rFonts w:eastAsia="Times New Roman"/>
          <w:noProof/>
          <w:lang w:eastAsia="en-GB"/>
        </w:rPr>
        <w:t xml:space="preserve"> should be understood</w:t>
      </w:r>
      <w:r w:rsidR="63166C33" w:rsidRPr="00814C1E">
        <w:rPr>
          <w:rFonts w:eastAsia="Times New Roman"/>
          <w:noProof/>
          <w:lang w:eastAsia="en-GB"/>
        </w:rPr>
        <w:t xml:space="preserve"> </w:t>
      </w:r>
      <w:r w:rsidR="00490146">
        <w:rPr>
          <w:rFonts w:eastAsia="Times New Roman"/>
          <w:noProof/>
          <w:lang w:eastAsia="en-GB"/>
        </w:rPr>
        <w:t xml:space="preserve">as </w:t>
      </w:r>
      <w:r w:rsidR="63166C33" w:rsidRPr="00814C1E">
        <w:rPr>
          <w:rFonts w:eastAsia="Times New Roman"/>
          <w:noProof/>
          <w:lang w:eastAsia="en-GB"/>
        </w:rPr>
        <w:t xml:space="preserve">staff whose primary or major assignment is </w:t>
      </w:r>
      <w:r w:rsidR="003468AD">
        <w:rPr>
          <w:rFonts w:eastAsia="Times New Roman"/>
          <w:noProof/>
          <w:lang w:eastAsia="en-GB"/>
        </w:rPr>
        <w:t>teaching</w:t>
      </w:r>
      <w:r w:rsidR="003468AD" w:rsidRPr="00814C1E">
        <w:rPr>
          <w:rFonts w:eastAsia="Times New Roman"/>
          <w:noProof/>
          <w:lang w:eastAsia="en-GB"/>
        </w:rPr>
        <w:t xml:space="preserve"> </w:t>
      </w:r>
      <w:r w:rsidR="63166C33" w:rsidRPr="003310EF">
        <w:rPr>
          <w:rFonts w:eastAsia="Times New Roman"/>
          <w:noProof/>
          <w:lang w:eastAsia="en-GB"/>
        </w:rPr>
        <w:t xml:space="preserve">or research in institutions offering programmes at </w:t>
      </w:r>
      <w:r w:rsidR="000C2B0C" w:rsidRPr="003310EF">
        <w:rPr>
          <w:rFonts w:eastAsia="Times New Roman"/>
          <w:noProof/>
          <w:lang w:eastAsia="en-GB"/>
        </w:rPr>
        <w:t>European Qualifications Framework (EQF)</w:t>
      </w:r>
      <w:r w:rsidR="63166C33" w:rsidRPr="003310EF">
        <w:rPr>
          <w:rFonts w:eastAsia="Times New Roman"/>
          <w:noProof/>
          <w:lang w:eastAsia="en-GB"/>
        </w:rPr>
        <w:t xml:space="preserve"> levels 5 to 8</w:t>
      </w:r>
      <w:r w:rsidR="00077DD9">
        <w:rPr>
          <w:rStyle w:val="Allmrkuseviide"/>
          <w:rFonts w:eastAsia="Times New Roman"/>
          <w:noProof/>
          <w:lang w:eastAsia="en-GB"/>
        </w:rPr>
        <w:footnoteReference w:id="46"/>
      </w:r>
      <w:r w:rsidR="00077DD9">
        <w:rPr>
          <w:rFonts w:eastAsia="Times New Roman"/>
          <w:noProof/>
          <w:lang w:eastAsia="en-GB"/>
        </w:rPr>
        <w:t xml:space="preserve">. </w:t>
      </w:r>
      <w:r w:rsidR="00981FC0" w:rsidRPr="003310EF">
        <w:rPr>
          <w:rFonts w:eastAsia="Times New Roman"/>
          <w:noProof/>
          <w:lang w:eastAsia="en-GB"/>
        </w:rPr>
        <w:t xml:space="preserve">Staff </w:t>
      </w:r>
      <w:r w:rsidR="63166C33" w:rsidRPr="003310EF">
        <w:rPr>
          <w:rFonts w:eastAsia="Times New Roman"/>
          <w:noProof/>
          <w:lang w:eastAsia="en-GB"/>
        </w:rPr>
        <w:t xml:space="preserve">targeted </w:t>
      </w:r>
      <w:r w:rsidR="00981FC0" w:rsidRPr="003310EF">
        <w:rPr>
          <w:rFonts w:eastAsia="Times New Roman"/>
          <w:noProof/>
          <w:lang w:eastAsia="en-GB"/>
        </w:rPr>
        <w:t xml:space="preserve">by this Recommendation should be understood </w:t>
      </w:r>
      <w:r w:rsidR="00954D8A" w:rsidRPr="003310EF">
        <w:rPr>
          <w:rFonts w:eastAsia="Times New Roman"/>
          <w:noProof/>
          <w:lang w:eastAsia="en-GB"/>
        </w:rPr>
        <w:t>to</w:t>
      </w:r>
      <w:r w:rsidR="00981FC0" w:rsidRPr="003310EF">
        <w:rPr>
          <w:rFonts w:eastAsia="Times New Roman"/>
          <w:noProof/>
          <w:lang w:eastAsia="en-GB"/>
        </w:rPr>
        <w:t xml:space="preserve"> includ</w:t>
      </w:r>
      <w:r w:rsidR="00954D8A" w:rsidRPr="003310EF">
        <w:rPr>
          <w:rFonts w:eastAsia="Times New Roman"/>
          <w:noProof/>
          <w:lang w:eastAsia="en-GB"/>
        </w:rPr>
        <w:t>e</w:t>
      </w:r>
      <w:r w:rsidR="00981FC0" w:rsidRPr="003310EF">
        <w:rPr>
          <w:rFonts w:eastAsia="Times New Roman"/>
          <w:noProof/>
          <w:lang w:eastAsia="en-GB"/>
        </w:rPr>
        <w:t xml:space="preserve"> staff working </w:t>
      </w:r>
      <w:r w:rsidR="00091F33" w:rsidRPr="003310EF">
        <w:rPr>
          <w:rFonts w:eastAsia="Times New Roman"/>
          <w:noProof/>
          <w:lang w:eastAsia="en-GB"/>
        </w:rPr>
        <w:t>at</w:t>
      </w:r>
      <w:r w:rsidR="63166C33" w:rsidRPr="003310EF">
        <w:rPr>
          <w:rFonts w:eastAsia="Times New Roman"/>
          <w:noProof/>
          <w:lang w:eastAsia="en-GB"/>
        </w:rPr>
        <w:t xml:space="preserve"> higher education institutions who do both teaching and research</w:t>
      </w:r>
      <w:r w:rsidR="00954D8A" w:rsidRPr="003310EF">
        <w:rPr>
          <w:rFonts w:eastAsia="Times New Roman"/>
          <w:noProof/>
          <w:lang w:eastAsia="en-GB"/>
        </w:rPr>
        <w:t>,</w:t>
      </w:r>
      <w:r w:rsidR="63166C33" w:rsidRPr="003310EF">
        <w:rPr>
          <w:rFonts w:eastAsia="Times New Roman"/>
          <w:noProof/>
          <w:lang w:eastAsia="en-GB"/>
        </w:rPr>
        <w:t xml:space="preserve"> and staff who do teaching only or mostly, regardless of</w:t>
      </w:r>
      <w:r w:rsidR="00083258">
        <w:rPr>
          <w:rFonts w:eastAsia="Times New Roman"/>
          <w:noProof/>
          <w:lang w:eastAsia="en-GB"/>
        </w:rPr>
        <w:t xml:space="preserve"> their</w:t>
      </w:r>
      <w:r w:rsidR="63166C33" w:rsidRPr="003310EF">
        <w:rPr>
          <w:rFonts w:eastAsia="Times New Roman"/>
          <w:noProof/>
          <w:lang w:eastAsia="en-GB"/>
        </w:rPr>
        <w:t xml:space="preserve"> status. </w:t>
      </w:r>
      <w:r w:rsidR="000E6E5A" w:rsidRPr="003310EF">
        <w:rPr>
          <w:rFonts w:eastAsia="Times New Roman"/>
          <w:noProof/>
          <w:lang w:eastAsia="en-GB"/>
        </w:rPr>
        <w:t>It also includes researchers working at higher education institutions, who may not have a permanent teaching assignment, but who are involved in the life of the institution and might be occasionally</w:t>
      </w:r>
      <w:r w:rsidR="000E6E5A" w:rsidRPr="000E6E5A">
        <w:rPr>
          <w:rFonts w:eastAsia="Times New Roman"/>
          <w:noProof/>
          <w:lang w:eastAsia="en-GB"/>
        </w:rPr>
        <w:t xml:space="preserve"> involved in teaching.</w:t>
      </w:r>
    </w:p>
    <w:p w14:paraId="7E7A892E" w14:textId="77777777" w:rsidR="00246883" w:rsidRPr="00814C1E" w:rsidRDefault="63166C33" w:rsidP="00B918A1">
      <w:pPr>
        <w:pStyle w:val="ManualConsidrant"/>
        <w:rPr>
          <w:rFonts w:eastAsia="Times New Roman"/>
          <w:noProof/>
          <w:lang w:eastAsia="en-GB"/>
        </w:rPr>
      </w:pPr>
      <w:r>
        <w:rPr>
          <w:noProof/>
        </w:rPr>
        <w:t>(3)</w:t>
      </w:r>
      <w:r>
        <w:rPr>
          <w:noProof/>
        </w:rPr>
        <w:tab/>
      </w:r>
      <w:r w:rsidRPr="00814C1E">
        <w:rPr>
          <w:rFonts w:eastAsia="Times New Roman"/>
          <w:noProof/>
          <w:lang w:eastAsia="en-GB"/>
        </w:rPr>
        <w:t xml:space="preserve">Some recommendations </w:t>
      </w:r>
      <w:r w:rsidR="00981FC0">
        <w:rPr>
          <w:rFonts w:eastAsia="Times New Roman"/>
          <w:noProof/>
          <w:lang w:eastAsia="en-GB"/>
        </w:rPr>
        <w:t>include</w:t>
      </w:r>
      <w:r w:rsidRPr="00814C1E">
        <w:rPr>
          <w:rFonts w:eastAsia="Times New Roman"/>
          <w:noProof/>
          <w:lang w:eastAsia="en-GB"/>
        </w:rPr>
        <w:t xml:space="preserve"> </w:t>
      </w:r>
      <w:r w:rsidR="5DA0D0FE" w:rsidRPr="00814C1E">
        <w:rPr>
          <w:rFonts w:eastAsia="Times New Roman"/>
          <w:noProof/>
          <w:lang w:eastAsia="en-GB"/>
        </w:rPr>
        <w:t xml:space="preserve">professional services </w:t>
      </w:r>
      <w:r w:rsidRPr="00814C1E">
        <w:rPr>
          <w:rFonts w:eastAsia="Times New Roman"/>
          <w:noProof/>
          <w:lang w:eastAsia="en-GB"/>
        </w:rPr>
        <w:t>staff who are not strictly considered</w:t>
      </w:r>
      <w:r w:rsidR="47EB6A0D" w:rsidRPr="00814C1E">
        <w:rPr>
          <w:rFonts w:eastAsia="Times New Roman"/>
          <w:noProof/>
          <w:lang w:eastAsia="en-GB"/>
        </w:rPr>
        <w:t xml:space="preserve"> as</w:t>
      </w:r>
      <w:r w:rsidRPr="00814C1E">
        <w:rPr>
          <w:rFonts w:eastAsia="Times New Roman"/>
          <w:noProof/>
          <w:lang w:eastAsia="en-GB"/>
        </w:rPr>
        <w:t xml:space="preserve"> </w:t>
      </w:r>
      <w:r w:rsidR="001B41D7" w:rsidRPr="00814C1E">
        <w:rPr>
          <w:rFonts w:eastAsia="Times New Roman"/>
          <w:noProof/>
          <w:lang w:eastAsia="en-GB"/>
        </w:rPr>
        <w:t>‘</w:t>
      </w:r>
      <w:r w:rsidRPr="00814C1E">
        <w:rPr>
          <w:rFonts w:eastAsia="Times New Roman"/>
          <w:noProof/>
          <w:lang w:eastAsia="en-GB"/>
        </w:rPr>
        <w:t>academic staff</w:t>
      </w:r>
      <w:r w:rsidR="001B41D7" w:rsidRPr="00814C1E">
        <w:rPr>
          <w:rFonts w:eastAsia="Times New Roman"/>
          <w:noProof/>
          <w:lang w:eastAsia="en-GB"/>
        </w:rPr>
        <w:t>’</w:t>
      </w:r>
      <w:r w:rsidRPr="00814C1E">
        <w:rPr>
          <w:rFonts w:eastAsia="Times New Roman"/>
          <w:noProof/>
          <w:lang w:eastAsia="en-GB"/>
        </w:rPr>
        <w:t xml:space="preserve">, but </w:t>
      </w:r>
      <w:r w:rsidR="6CD835B4" w:rsidRPr="00814C1E">
        <w:rPr>
          <w:rFonts w:eastAsia="Times New Roman"/>
          <w:noProof/>
          <w:lang w:eastAsia="en-GB"/>
        </w:rPr>
        <w:t xml:space="preserve">who </w:t>
      </w:r>
      <w:r w:rsidRPr="00814C1E">
        <w:rPr>
          <w:rFonts w:eastAsia="Times New Roman"/>
          <w:noProof/>
          <w:lang w:eastAsia="en-GB"/>
        </w:rPr>
        <w:t>have extensive high-level expertise in strategic, legal or communication fields, professionals working in areas related to academic tasks but with no direct engagement in them</w:t>
      </w:r>
      <w:r w:rsidR="00444D6A">
        <w:rPr>
          <w:rFonts w:eastAsia="Times New Roman"/>
          <w:noProof/>
          <w:lang w:eastAsia="en-GB"/>
        </w:rPr>
        <w:t>,</w:t>
      </w:r>
      <w:r w:rsidRPr="00814C1E">
        <w:rPr>
          <w:rFonts w:eastAsia="Times New Roman"/>
          <w:noProof/>
          <w:lang w:eastAsia="en-GB"/>
        </w:rPr>
        <w:t xml:space="preserve"> or higher education professionals with extensive knowledge of higher education and other relevant policy.</w:t>
      </w:r>
    </w:p>
    <w:p w14:paraId="3DED92C3" w14:textId="2E50DEB4" w:rsidR="00F972F0" w:rsidRPr="00814C1E" w:rsidRDefault="0169E8A5" w:rsidP="00B918A1">
      <w:pPr>
        <w:pStyle w:val="ManualConsidrant"/>
        <w:rPr>
          <w:noProof/>
          <w:lang w:eastAsia="en-GB"/>
        </w:rPr>
      </w:pPr>
      <w:r>
        <w:rPr>
          <w:noProof/>
        </w:rPr>
        <w:t>(4)</w:t>
      </w:r>
      <w:r>
        <w:rPr>
          <w:noProof/>
        </w:rPr>
        <w:tab/>
      </w:r>
      <w:r w:rsidRPr="00814C1E">
        <w:rPr>
          <w:rFonts w:eastAsia="Times New Roman"/>
          <w:noProof/>
          <w:lang w:val="en-IE" w:eastAsia="en-GB"/>
        </w:rPr>
        <w:t xml:space="preserve">Higher education institutions are experiencing changing conditions and new types of academic activities are being created. Academic staff in higher education are expected to fulfil various roles from traditional education and research to </w:t>
      </w:r>
      <w:bookmarkStart w:id="14" w:name="_Hlk159319127"/>
      <w:r w:rsidR="00ED7256" w:rsidRPr="00814C1E">
        <w:rPr>
          <w:rFonts w:eastAsia="Times New Roman"/>
          <w:noProof/>
          <w:lang w:val="en-IE" w:eastAsia="en-GB"/>
        </w:rPr>
        <w:t>entrepreneurship and</w:t>
      </w:r>
      <w:r w:rsidR="00A10FBB" w:rsidRPr="00814C1E">
        <w:rPr>
          <w:rFonts w:eastAsia="Times New Roman"/>
          <w:noProof/>
          <w:lang w:val="en-IE" w:eastAsia="en-GB"/>
        </w:rPr>
        <w:t xml:space="preserve"> </w:t>
      </w:r>
      <w:r w:rsidR="00A80B7D" w:rsidRPr="00814C1E">
        <w:rPr>
          <w:noProof/>
          <w:lang w:val="en-IE"/>
        </w:rPr>
        <w:t>innovation,</w:t>
      </w:r>
      <w:r w:rsidR="00320081">
        <w:rPr>
          <w:noProof/>
          <w:lang w:val="en-IE"/>
        </w:rPr>
        <w:t xml:space="preserve"> knowledge valorisation,</w:t>
      </w:r>
      <w:r w:rsidR="00A80B7D" w:rsidRPr="00814C1E">
        <w:rPr>
          <w:noProof/>
          <w:lang w:val="en-IE"/>
        </w:rPr>
        <w:t xml:space="preserve"> transnational cooperation, business and community engagement</w:t>
      </w:r>
      <w:r>
        <w:rPr>
          <w:rStyle w:val="Allmrkuseviide"/>
          <w:noProof/>
          <w:lang w:val="en-IE"/>
        </w:rPr>
        <w:footnoteReference w:id="47"/>
      </w:r>
      <w:r w:rsidR="00A80B7D" w:rsidRPr="00814C1E">
        <w:rPr>
          <w:noProof/>
          <w:lang w:val="en-IE"/>
        </w:rPr>
        <w:t>, regional</w:t>
      </w:r>
      <w:r w:rsidR="00154320">
        <w:rPr>
          <w:noProof/>
          <w:lang w:val="en-IE"/>
        </w:rPr>
        <w:t xml:space="preserve"> and local</w:t>
      </w:r>
      <w:r w:rsidR="00A80B7D" w:rsidRPr="00814C1E">
        <w:rPr>
          <w:noProof/>
          <w:lang w:val="en-IE"/>
        </w:rPr>
        <w:t xml:space="preserve"> development, </w:t>
      </w:r>
      <w:r w:rsidR="00320081">
        <w:rPr>
          <w:noProof/>
          <w:lang w:val="en-IE"/>
        </w:rPr>
        <w:t xml:space="preserve">mentoring, </w:t>
      </w:r>
      <w:r w:rsidR="00A80B7D" w:rsidRPr="00814C1E">
        <w:rPr>
          <w:noProof/>
          <w:lang w:val="en-IE"/>
        </w:rPr>
        <w:t xml:space="preserve">administration and </w:t>
      </w:r>
      <w:r w:rsidR="00A80B7D" w:rsidRPr="003310EF">
        <w:rPr>
          <w:noProof/>
          <w:lang w:val="en-IE"/>
        </w:rPr>
        <w:t>management and participation in institutional governance</w:t>
      </w:r>
      <w:bookmarkEnd w:id="14"/>
      <w:r w:rsidRPr="003310EF">
        <w:rPr>
          <w:rFonts w:eastAsia="Times New Roman"/>
          <w:noProof/>
          <w:lang w:val="en-IE" w:eastAsia="en-GB"/>
        </w:rPr>
        <w:t>. Th</w:t>
      </w:r>
      <w:r w:rsidR="008501B9" w:rsidRPr="003310EF">
        <w:rPr>
          <w:rFonts w:eastAsia="Times New Roman"/>
          <w:noProof/>
          <w:lang w:val="en-IE" w:eastAsia="en-GB"/>
        </w:rPr>
        <w:t>ose</w:t>
      </w:r>
      <w:r w:rsidRPr="003310EF">
        <w:rPr>
          <w:rFonts w:eastAsia="Times New Roman"/>
          <w:noProof/>
          <w:lang w:val="en-IE" w:eastAsia="en-GB"/>
        </w:rPr>
        <w:t xml:space="preserve"> various roles are unevenly </w:t>
      </w:r>
      <w:r w:rsidR="00FD3AB0" w:rsidRPr="003310EF">
        <w:rPr>
          <w:rFonts w:eastAsia="Times New Roman"/>
          <w:noProof/>
          <w:lang w:val="en-IE" w:eastAsia="en-GB"/>
        </w:rPr>
        <w:t>recognised</w:t>
      </w:r>
      <w:r w:rsidRPr="003310EF">
        <w:rPr>
          <w:rFonts w:eastAsia="Times New Roman"/>
          <w:noProof/>
          <w:lang w:val="en-IE" w:eastAsia="en-GB"/>
        </w:rPr>
        <w:t xml:space="preserve">. </w:t>
      </w:r>
      <w:r w:rsidR="008501B9" w:rsidRPr="003310EF">
        <w:rPr>
          <w:rFonts w:eastAsia="Times New Roman"/>
          <w:noProof/>
          <w:lang w:val="en-IE" w:eastAsia="en-GB"/>
        </w:rPr>
        <w:t xml:space="preserve">In order to </w:t>
      </w:r>
      <w:r w:rsidR="00FD3AB0" w:rsidRPr="003310EF">
        <w:rPr>
          <w:rFonts w:eastAsia="Times New Roman"/>
          <w:noProof/>
          <w:lang w:val="en-IE" w:eastAsia="en-GB"/>
        </w:rPr>
        <w:t>tackle</w:t>
      </w:r>
      <w:r w:rsidR="008501B9" w:rsidRPr="003310EF">
        <w:rPr>
          <w:rFonts w:eastAsia="Times New Roman"/>
          <w:noProof/>
          <w:lang w:val="en-IE" w:eastAsia="en-GB"/>
        </w:rPr>
        <w:t xml:space="preserve"> </w:t>
      </w:r>
      <w:r w:rsidR="63166C33" w:rsidRPr="003310EF">
        <w:rPr>
          <w:noProof/>
          <w:lang w:eastAsia="en-GB"/>
        </w:rPr>
        <w:t xml:space="preserve">bias in career structures and overall social recognition </w:t>
      </w:r>
      <w:r w:rsidR="00AE7070" w:rsidRPr="003310EF">
        <w:rPr>
          <w:noProof/>
          <w:lang w:eastAsia="en-GB"/>
        </w:rPr>
        <w:t>of</w:t>
      </w:r>
      <w:r w:rsidR="63166C33" w:rsidRPr="003310EF">
        <w:rPr>
          <w:noProof/>
          <w:lang w:eastAsia="en-GB"/>
        </w:rPr>
        <w:t xml:space="preserve"> research at the expense of teaching and other non-research academic activities</w:t>
      </w:r>
      <w:r w:rsidR="00F72F2A" w:rsidRPr="003310EF">
        <w:rPr>
          <w:noProof/>
          <w:lang w:eastAsia="en-GB"/>
        </w:rPr>
        <w:t xml:space="preserve">, </w:t>
      </w:r>
      <w:r w:rsidR="005105F7" w:rsidRPr="003310EF">
        <w:rPr>
          <w:noProof/>
          <w:lang w:eastAsia="en-GB"/>
        </w:rPr>
        <w:t xml:space="preserve">it </w:t>
      </w:r>
      <w:r w:rsidR="00535AD4">
        <w:rPr>
          <w:noProof/>
          <w:lang w:eastAsia="en-GB"/>
        </w:rPr>
        <w:t>would be appropriate</w:t>
      </w:r>
      <w:r w:rsidR="005105F7" w:rsidRPr="003310EF">
        <w:rPr>
          <w:noProof/>
          <w:lang w:eastAsia="en-GB"/>
        </w:rPr>
        <w:t xml:space="preserve"> to promote approaches that acknowledge diverse academic career paths and </w:t>
      </w:r>
      <w:r w:rsidR="00455298" w:rsidRPr="003310EF">
        <w:rPr>
          <w:noProof/>
          <w:lang w:eastAsia="en-GB"/>
        </w:rPr>
        <w:t>consider</w:t>
      </w:r>
      <w:r w:rsidR="005105F7" w:rsidRPr="003310EF">
        <w:rPr>
          <w:noProof/>
          <w:lang w:eastAsia="en-GB"/>
        </w:rPr>
        <w:t xml:space="preserve"> </w:t>
      </w:r>
      <w:r w:rsidR="00361C3E" w:rsidRPr="003310EF">
        <w:rPr>
          <w:noProof/>
          <w:lang w:eastAsia="en-GB"/>
        </w:rPr>
        <w:t xml:space="preserve">these </w:t>
      </w:r>
      <w:r w:rsidR="005105F7" w:rsidRPr="003310EF">
        <w:rPr>
          <w:noProof/>
          <w:lang w:eastAsia="en-GB"/>
        </w:rPr>
        <w:t xml:space="preserve">in staff </w:t>
      </w:r>
      <w:r w:rsidR="0079049E" w:rsidRPr="003310EF">
        <w:rPr>
          <w:noProof/>
          <w:lang w:eastAsia="en-GB"/>
        </w:rPr>
        <w:t>appraisal</w:t>
      </w:r>
      <w:r w:rsidR="005105F7" w:rsidRPr="003310EF">
        <w:rPr>
          <w:noProof/>
          <w:lang w:eastAsia="en-GB"/>
        </w:rPr>
        <w:t xml:space="preserve"> and </w:t>
      </w:r>
      <w:r w:rsidR="004C0A56" w:rsidRPr="003310EF">
        <w:rPr>
          <w:noProof/>
          <w:lang w:eastAsia="en-GB"/>
        </w:rPr>
        <w:t>career</w:t>
      </w:r>
      <w:r w:rsidR="004C0A56">
        <w:rPr>
          <w:noProof/>
          <w:lang w:eastAsia="en-GB"/>
        </w:rPr>
        <w:t xml:space="preserve"> promotion processes</w:t>
      </w:r>
      <w:r w:rsidR="00C17666" w:rsidRPr="00814C1E">
        <w:rPr>
          <w:noProof/>
        </w:rPr>
        <w:t>.</w:t>
      </w:r>
    </w:p>
    <w:p w14:paraId="5E240FCA" w14:textId="021D7A6A" w:rsidR="00956C1D" w:rsidRPr="00732E7E" w:rsidRDefault="00956C1D" w:rsidP="00B918A1">
      <w:pPr>
        <w:pStyle w:val="ManualConsidrant"/>
        <w:rPr>
          <w:noProof/>
          <w:lang w:val="en-IE"/>
        </w:rPr>
      </w:pPr>
      <w:r>
        <w:rPr>
          <w:noProof/>
        </w:rPr>
        <w:t>(5)</w:t>
      </w:r>
      <w:r>
        <w:rPr>
          <w:noProof/>
        </w:rPr>
        <w:tab/>
      </w:r>
      <w:r>
        <w:rPr>
          <w:noProof/>
          <w:lang w:val="en-IE"/>
        </w:rPr>
        <w:t>Creating better conditions for</w:t>
      </w:r>
      <w:r w:rsidRPr="00501943">
        <w:rPr>
          <w:noProof/>
          <w:lang w:val="en-IE"/>
        </w:rPr>
        <w:t xml:space="preserve"> academic staff</w:t>
      </w:r>
      <w:r>
        <w:rPr>
          <w:noProof/>
          <w:lang w:val="en-IE"/>
        </w:rPr>
        <w:t xml:space="preserve"> and addressing barriers</w:t>
      </w:r>
      <w:r w:rsidR="00B918A1">
        <w:rPr>
          <w:noProof/>
          <w:lang w:val="en-IE"/>
        </w:rPr>
        <w:t xml:space="preserve"> c</w:t>
      </w:r>
      <w:r w:rsidRPr="00501943">
        <w:rPr>
          <w:noProof/>
          <w:lang w:val="en-IE"/>
        </w:rPr>
        <w:t>an help increase the attractiveness of higher education</w:t>
      </w:r>
      <w:r>
        <w:rPr>
          <w:noProof/>
          <w:lang w:val="en-IE"/>
        </w:rPr>
        <w:t xml:space="preserve"> institutions</w:t>
      </w:r>
      <w:r w:rsidRPr="00501943">
        <w:rPr>
          <w:noProof/>
          <w:lang w:val="en-IE"/>
        </w:rPr>
        <w:t xml:space="preserve"> as places of work</w:t>
      </w:r>
      <w:r>
        <w:rPr>
          <w:noProof/>
          <w:lang w:val="en-IE"/>
        </w:rPr>
        <w:t xml:space="preserve"> </w:t>
      </w:r>
      <w:r w:rsidRPr="00EF7325">
        <w:rPr>
          <w:noProof/>
          <w:lang w:val="en-IE"/>
        </w:rPr>
        <w:t xml:space="preserve">and </w:t>
      </w:r>
      <w:r>
        <w:rPr>
          <w:noProof/>
          <w:lang w:val="en-IE"/>
        </w:rPr>
        <w:t xml:space="preserve">enhance their capacity to </w:t>
      </w:r>
      <w:r w:rsidRPr="00EF7325">
        <w:rPr>
          <w:noProof/>
          <w:lang w:val="en-IE"/>
        </w:rPr>
        <w:t>trigger additional positive spill-over effects, notably on the labour market by stimulating the development of talent</w:t>
      </w:r>
      <w:r w:rsidRPr="00501943">
        <w:rPr>
          <w:noProof/>
          <w:color w:val="5B9BD5"/>
          <w:lang w:val="en-IE"/>
        </w:rPr>
        <w:t>.</w:t>
      </w:r>
      <w:r w:rsidRPr="00501943">
        <w:rPr>
          <w:noProof/>
          <w:color w:val="FF0000"/>
          <w:lang w:val="en-IE"/>
        </w:rPr>
        <w:t xml:space="preserve"> </w:t>
      </w:r>
      <w:r w:rsidRPr="00732E7E">
        <w:rPr>
          <w:noProof/>
          <w:lang w:val="en-IE"/>
        </w:rPr>
        <w:t>A more val</w:t>
      </w:r>
      <w:r>
        <w:rPr>
          <w:noProof/>
          <w:lang w:val="en-IE"/>
        </w:rPr>
        <w:t>ued</w:t>
      </w:r>
      <w:r w:rsidRPr="00732E7E">
        <w:rPr>
          <w:noProof/>
          <w:lang w:val="en-IE"/>
        </w:rPr>
        <w:t xml:space="preserve"> and supported academic staff can help nurture the workforce needed for the development of regional economies, which are increasingly dependent on knowledge, innovation, and highly skilled people. </w:t>
      </w:r>
      <w:r w:rsidRPr="00732E7E">
        <w:rPr>
          <w:noProof/>
        </w:rPr>
        <w:t xml:space="preserve">The importance of attractive and effective higher education institutions has </w:t>
      </w:r>
      <w:r w:rsidRPr="00732E7E">
        <w:rPr>
          <w:noProof/>
        </w:rPr>
        <w:lastRenderedPageBreak/>
        <w:t>been especially recognised in regions in a talent development trap or at risk of falling into one, which are lagging in terms of creating new economic opportunities</w:t>
      </w:r>
      <w:r w:rsidR="00C525D0">
        <w:rPr>
          <w:noProof/>
        </w:rPr>
        <w:t>.</w:t>
      </w:r>
      <w:r>
        <w:rPr>
          <w:rStyle w:val="Allmrkuseviide"/>
          <w:noProof/>
        </w:rPr>
        <w:footnoteReference w:id="48"/>
      </w:r>
    </w:p>
    <w:p w14:paraId="287EA721" w14:textId="77777777" w:rsidR="00EB5DC0" w:rsidRPr="007814C4" w:rsidRDefault="00EB5DC0" w:rsidP="00B918A1">
      <w:pPr>
        <w:pStyle w:val="ManualConsidrant"/>
        <w:rPr>
          <w:noProof/>
          <w:lang w:eastAsia="en-GB"/>
        </w:rPr>
      </w:pPr>
      <w:r>
        <w:rPr>
          <w:noProof/>
        </w:rPr>
        <w:t>(6)</w:t>
      </w:r>
      <w:r>
        <w:rPr>
          <w:noProof/>
        </w:rPr>
        <w:tab/>
      </w:r>
      <w:r w:rsidRPr="00814C1E">
        <w:rPr>
          <w:noProof/>
          <w:lang w:val="en-IE" w:eastAsia="en-GB"/>
        </w:rPr>
        <w:t>Increasingly strategic transnational activities</w:t>
      </w:r>
      <w:r>
        <w:rPr>
          <w:noProof/>
          <w:lang w:val="en-IE" w:eastAsia="en-GB"/>
        </w:rPr>
        <w:t xml:space="preserve">, </w:t>
      </w:r>
      <w:r w:rsidRPr="00814C1E">
        <w:rPr>
          <w:noProof/>
          <w:lang w:val="en-IE" w:eastAsia="en-GB"/>
        </w:rPr>
        <w:t>including building European Universities alliances</w:t>
      </w:r>
      <w:r>
        <w:rPr>
          <w:rStyle w:val="Allmrkuseviide"/>
          <w:rFonts w:eastAsia="Times New Roman"/>
          <w:noProof/>
          <w:lang w:val="en-IE" w:eastAsia="en-GB"/>
        </w:rPr>
        <w:footnoteReference w:id="49"/>
      </w:r>
      <w:r w:rsidRPr="00814C1E">
        <w:rPr>
          <w:noProof/>
          <w:lang w:val="en-IE" w:eastAsia="en-GB"/>
        </w:rPr>
        <w:t xml:space="preserve"> and developing transnational educational programmes</w:t>
      </w:r>
      <w:r>
        <w:rPr>
          <w:noProof/>
          <w:lang w:val="en-IE" w:eastAsia="en-GB"/>
        </w:rPr>
        <w:t>,</w:t>
      </w:r>
      <w:r w:rsidRPr="00814C1E">
        <w:rPr>
          <w:noProof/>
          <w:lang w:val="en-IE" w:eastAsia="en-GB"/>
        </w:rPr>
        <w:t xml:space="preserve"> require academic staff, as well as professional services staff to dedicate additional time and energy </w:t>
      </w:r>
      <w:r>
        <w:rPr>
          <w:noProof/>
          <w:lang w:val="en-IE" w:eastAsia="en-GB"/>
        </w:rPr>
        <w:t xml:space="preserve">to those activities </w:t>
      </w:r>
      <w:r w:rsidRPr="00814C1E">
        <w:rPr>
          <w:noProof/>
          <w:lang w:val="en-IE" w:eastAsia="en-GB"/>
        </w:rPr>
        <w:t xml:space="preserve">on top of core </w:t>
      </w:r>
      <w:r>
        <w:rPr>
          <w:noProof/>
          <w:lang w:val="en-IE" w:eastAsia="en-GB"/>
        </w:rPr>
        <w:t>teaching</w:t>
      </w:r>
      <w:r w:rsidRPr="00814C1E">
        <w:rPr>
          <w:noProof/>
          <w:lang w:val="en-IE" w:eastAsia="en-GB"/>
        </w:rPr>
        <w:t xml:space="preserve"> and research.</w:t>
      </w:r>
      <w:r w:rsidRPr="00320081">
        <w:rPr>
          <w:noProof/>
          <w:lang w:val="en-IE"/>
        </w:rPr>
        <w:t xml:space="preserve"> </w:t>
      </w:r>
      <w:r>
        <w:rPr>
          <w:noProof/>
          <w:lang w:val="en-IE"/>
        </w:rPr>
        <w:t xml:space="preserve">In order to further </w:t>
      </w:r>
      <w:r w:rsidRPr="003310EF">
        <w:rPr>
          <w:noProof/>
          <w:lang w:val="en-IE"/>
        </w:rPr>
        <w:t>develop these activities, appraisal</w:t>
      </w:r>
      <w:r w:rsidR="00535AD4">
        <w:rPr>
          <w:noProof/>
          <w:lang w:val="en-IE"/>
        </w:rPr>
        <w:t xml:space="preserve"> and promotion </w:t>
      </w:r>
      <w:r w:rsidRPr="003310EF">
        <w:rPr>
          <w:noProof/>
          <w:lang w:val="en-IE"/>
        </w:rPr>
        <w:t xml:space="preserve">mechanisms need to </w:t>
      </w:r>
      <w:r w:rsidR="00535AD4">
        <w:rPr>
          <w:noProof/>
          <w:lang w:val="en-IE"/>
        </w:rPr>
        <w:t xml:space="preserve">acknowledge staff involvement </w:t>
      </w:r>
      <w:r w:rsidRPr="007814C4">
        <w:rPr>
          <w:noProof/>
          <w:lang w:val="en-IE"/>
        </w:rPr>
        <w:t xml:space="preserve">in </w:t>
      </w:r>
      <w:r w:rsidR="00535AD4">
        <w:rPr>
          <w:noProof/>
          <w:lang w:val="en-IE"/>
        </w:rPr>
        <w:t xml:space="preserve">work on </w:t>
      </w:r>
      <w:r w:rsidRPr="007814C4">
        <w:rPr>
          <w:noProof/>
          <w:lang w:val="en-IE"/>
        </w:rPr>
        <w:t>transnational cooperation.</w:t>
      </w:r>
    </w:p>
    <w:p w14:paraId="1DDE624D" w14:textId="5C7A6F32" w:rsidR="006050EA" w:rsidRPr="007814C4" w:rsidRDefault="002A3A20" w:rsidP="00B918A1">
      <w:pPr>
        <w:pStyle w:val="ManualConsidrant"/>
        <w:rPr>
          <w:noProof/>
          <w:lang w:val="en-IE"/>
        </w:rPr>
      </w:pPr>
      <w:r>
        <w:rPr>
          <w:noProof/>
        </w:rPr>
        <w:t>(7)</w:t>
      </w:r>
      <w:r>
        <w:rPr>
          <w:noProof/>
        </w:rPr>
        <w:tab/>
      </w:r>
      <w:r w:rsidRPr="007814C4">
        <w:rPr>
          <w:noProof/>
        </w:rPr>
        <w:t>A</w:t>
      </w:r>
      <w:r w:rsidR="00774E17" w:rsidRPr="007814C4">
        <w:rPr>
          <w:noProof/>
        </w:rPr>
        <w:t xml:space="preserve"> free and non-discriminatory working environment</w:t>
      </w:r>
      <w:r w:rsidRPr="007814C4">
        <w:rPr>
          <w:noProof/>
        </w:rPr>
        <w:t xml:space="preserve"> is an important enabling factor for academic staff to provide high quality teaching</w:t>
      </w:r>
      <w:r w:rsidR="00774E17" w:rsidRPr="007814C4">
        <w:rPr>
          <w:noProof/>
        </w:rPr>
        <w:t xml:space="preserve">. </w:t>
      </w:r>
      <w:r w:rsidR="002E5774" w:rsidRPr="007814C4">
        <w:rPr>
          <w:noProof/>
        </w:rPr>
        <w:t xml:space="preserve">Academic freedom </w:t>
      </w:r>
      <w:r w:rsidR="00C525D0">
        <w:rPr>
          <w:noProof/>
        </w:rPr>
        <w:t>should</w:t>
      </w:r>
      <w:r w:rsidR="00C525D0" w:rsidRPr="007814C4">
        <w:rPr>
          <w:noProof/>
        </w:rPr>
        <w:t xml:space="preserve"> </w:t>
      </w:r>
      <w:r w:rsidR="002E5774" w:rsidRPr="007814C4">
        <w:rPr>
          <w:noProof/>
        </w:rPr>
        <w:t xml:space="preserve">be protected and promoted </w:t>
      </w:r>
      <w:r w:rsidR="00BE28BC" w:rsidRPr="007814C4">
        <w:rPr>
          <w:noProof/>
        </w:rPr>
        <w:t>to</w:t>
      </w:r>
      <w:r w:rsidR="004C0A56" w:rsidRPr="007814C4">
        <w:rPr>
          <w:noProof/>
        </w:rPr>
        <w:t xml:space="preserve"> maintain </w:t>
      </w:r>
      <w:r w:rsidR="002E5774" w:rsidRPr="007814C4">
        <w:rPr>
          <w:noProof/>
        </w:rPr>
        <w:t>the</w:t>
      </w:r>
      <w:r w:rsidR="004C0A56" w:rsidRPr="007814C4">
        <w:rPr>
          <w:noProof/>
        </w:rPr>
        <w:t xml:space="preserve"> high </w:t>
      </w:r>
      <w:r w:rsidR="00130383" w:rsidRPr="007814C4">
        <w:rPr>
          <w:noProof/>
        </w:rPr>
        <w:t xml:space="preserve">level </w:t>
      </w:r>
      <w:r w:rsidR="001D48C9" w:rsidRPr="007814C4">
        <w:rPr>
          <w:noProof/>
        </w:rPr>
        <w:t>enjoyed</w:t>
      </w:r>
      <w:r w:rsidR="00130383" w:rsidRPr="007814C4">
        <w:rPr>
          <w:noProof/>
        </w:rPr>
        <w:t xml:space="preserve"> by academic</w:t>
      </w:r>
      <w:r w:rsidR="009C2212" w:rsidRPr="007814C4">
        <w:rPr>
          <w:noProof/>
        </w:rPr>
        <w:t xml:space="preserve"> staff</w:t>
      </w:r>
      <w:r w:rsidR="00130383" w:rsidRPr="007814C4">
        <w:rPr>
          <w:noProof/>
        </w:rPr>
        <w:t xml:space="preserve"> in </w:t>
      </w:r>
      <w:r w:rsidR="004C0A56" w:rsidRPr="007814C4">
        <w:rPr>
          <w:noProof/>
        </w:rPr>
        <w:t xml:space="preserve">the </w:t>
      </w:r>
      <w:r w:rsidR="00CB709B" w:rsidRPr="007814C4">
        <w:rPr>
          <w:noProof/>
        </w:rPr>
        <w:t>U</w:t>
      </w:r>
      <w:r w:rsidR="00740F64" w:rsidRPr="007814C4">
        <w:rPr>
          <w:noProof/>
        </w:rPr>
        <w:t>nion</w:t>
      </w:r>
      <w:r w:rsidR="00C17666" w:rsidRPr="007814C4">
        <w:rPr>
          <w:noProof/>
        </w:rPr>
        <w:t>.</w:t>
      </w:r>
      <w:r w:rsidR="00130383" w:rsidRPr="007814C4">
        <w:rPr>
          <w:noProof/>
        </w:rPr>
        <w:t xml:space="preserve"> </w:t>
      </w:r>
      <w:r w:rsidR="006050EA" w:rsidRPr="007814C4">
        <w:rPr>
          <w:noProof/>
        </w:rPr>
        <w:t xml:space="preserve">Academic staff and professional services staff may also face challenges </w:t>
      </w:r>
      <w:r w:rsidR="00482F37" w:rsidRPr="007814C4">
        <w:rPr>
          <w:noProof/>
          <w:lang w:val="en-IE"/>
        </w:rPr>
        <w:t xml:space="preserve">of </w:t>
      </w:r>
      <w:r w:rsidR="006050EA" w:rsidRPr="007814C4">
        <w:rPr>
          <w:noProof/>
          <w:lang w:val="en-IE"/>
        </w:rPr>
        <w:t>unsatisfactory</w:t>
      </w:r>
      <w:r w:rsidR="006050EA" w:rsidRPr="007814C4">
        <w:rPr>
          <w:noProof/>
          <w:lang w:eastAsia="en-GB"/>
        </w:rPr>
        <w:t xml:space="preserve"> working </w:t>
      </w:r>
      <w:r w:rsidR="00B918A1" w:rsidRPr="007814C4">
        <w:rPr>
          <w:noProof/>
          <w:lang w:eastAsia="en-GB"/>
        </w:rPr>
        <w:t>conditions</w:t>
      </w:r>
      <w:r>
        <w:rPr>
          <w:rStyle w:val="Allmrkuseviide"/>
          <w:noProof/>
          <w:lang w:eastAsia="en-GB"/>
        </w:rPr>
        <w:footnoteReference w:id="50"/>
      </w:r>
      <w:r w:rsidR="006050EA" w:rsidRPr="007814C4">
        <w:rPr>
          <w:noProof/>
          <w:lang w:eastAsia="en-GB"/>
        </w:rPr>
        <w:t>, heavy workload and gender</w:t>
      </w:r>
      <w:r>
        <w:rPr>
          <w:noProof/>
          <w:lang w:eastAsia="en-GB"/>
        </w:rPr>
        <w:t xml:space="preserve"> or other </w:t>
      </w:r>
      <w:r w:rsidR="00B918A1" w:rsidDel="00B918A1">
        <w:rPr>
          <w:noProof/>
          <w:lang w:eastAsia="en-GB"/>
        </w:rPr>
        <w:t xml:space="preserve"> </w:t>
      </w:r>
      <w:r w:rsidR="006050EA" w:rsidRPr="007814C4">
        <w:rPr>
          <w:noProof/>
          <w:lang w:eastAsia="en-GB"/>
        </w:rPr>
        <w:t xml:space="preserve">biases </w:t>
      </w:r>
      <w:r w:rsidR="006050EA" w:rsidRPr="007814C4">
        <w:rPr>
          <w:noProof/>
        </w:rPr>
        <w:t>in assessment and recognition</w:t>
      </w:r>
      <w:r w:rsidR="006050EA" w:rsidRPr="007814C4">
        <w:rPr>
          <w:noProof/>
          <w:lang w:eastAsia="en-GB"/>
        </w:rPr>
        <w:t>. Also, women are more often employed on precarious and temporary contracts than men</w:t>
      </w:r>
      <w:r w:rsidR="006050EA" w:rsidRPr="007814C4">
        <w:rPr>
          <w:rStyle w:val="Allmrkuseviide"/>
          <w:noProof/>
          <w:lang w:eastAsia="en-GB"/>
        </w:rPr>
        <w:footnoteReference w:id="51"/>
      </w:r>
      <w:r>
        <w:rPr>
          <w:noProof/>
          <w:lang w:eastAsia="en-GB"/>
        </w:rPr>
        <w:t>.</w:t>
      </w:r>
      <w:r w:rsidR="006050EA" w:rsidRPr="007814C4">
        <w:rPr>
          <w:noProof/>
          <w:lang w:eastAsia="en-GB"/>
        </w:rPr>
        <w:t xml:space="preserve"> </w:t>
      </w:r>
      <w:r w:rsidR="00BE28BC" w:rsidRPr="007814C4">
        <w:rPr>
          <w:noProof/>
          <w:lang w:eastAsia="en-GB"/>
        </w:rPr>
        <w:t>To</w:t>
      </w:r>
      <w:r w:rsidR="006050EA" w:rsidRPr="007814C4">
        <w:rPr>
          <w:noProof/>
          <w:lang w:eastAsia="en-GB"/>
        </w:rPr>
        <w:t xml:space="preserve"> address those challenges, it is necessary to promote competitive</w:t>
      </w:r>
      <w:r>
        <w:rPr>
          <w:noProof/>
          <w:lang w:eastAsia="en-GB"/>
        </w:rPr>
        <w:t>, accessible</w:t>
      </w:r>
      <w:r w:rsidR="00B918A1" w:rsidRPr="007814C4">
        <w:rPr>
          <w:noProof/>
          <w:lang w:eastAsia="en-GB"/>
        </w:rPr>
        <w:t xml:space="preserve"> </w:t>
      </w:r>
      <w:r w:rsidR="00BE28BC" w:rsidRPr="007814C4">
        <w:rPr>
          <w:noProof/>
          <w:lang w:eastAsia="en-GB"/>
        </w:rPr>
        <w:t>and fair working</w:t>
      </w:r>
      <w:r w:rsidR="006050EA" w:rsidRPr="007814C4">
        <w:rPr>
          <w:noProof/>
          <w:lang w:eastAsia="en-GB"/>
        </w:rPr>
        <w:t xml:space="preserve"> conditions in academia</w:t>
      </w:r>
      <w:r w:rsidR="00BF250C" w:rsidRPr="007814C4">
        <w:rPr>
          <w:noProof/>
          <w:lang w:val="en-IE"/>
        </w:rPr>
        <w:t>.</w:t>
      </w:r>
    </w:p>
    <w:p w14:paraId="776DD81F" w14:textId="77777777" w:rsidR="00695703" w:rsidRPr="002A70E5" w:rsidRDefault="00695703" w:rsidP="00B918A1">
      <w:pPr>
        <w:pStyle w:val="ManualConsidrant"/>
        <w:rPr>
          <w:noProof/>
          <w:lang w:val="en-IE"/>
        </w:rPr>
      </w:pPr>
      <w:r>
        <w:rPr>
          <w:noProof/>
        </w:rPr>
        <w:t>(8)</w:t>
      </w:r>
      <w:r>
        <w:rPr>
          <w:noProof/>
        </w:rPr>
        <w:tab/>
      </w:r>
      <w:r w:rsidRPr="004C0A56">
        <w:rPr>
          <w:noProof/>
          <w:lang w:val="en-IE"/>
        </w:rPr>
        <w:t xml:space="preserve">The </w:t>
      </w:r>
      <w:r w:rsidR="004C0A56" w:rsidRPr="003F2A4E">
        <w:rPr>
          <w:noProof/>
          <w:lang w:val="en-IE"/>
        </w:rPr>
        <w:t>Union</w:t>
      </w:r>
      <w:r w:rsidRPr="004C0A56">
        <w:rPr>
          <w:noProof/>
          <w:lang w:val="en-IE"/>
        </w:rPr>
        <w:t xml:space="preserve"> action towards inclusiveness, diversity, and gender equality in higher education </w:t>
      </w:r>
      <w:r w:rsidR="00211C18">
        <w:rPr>
          <w:noProof/>
          <w:lang w:val="en-IE"/>
        </w:rPr>
        <w:t>is</w:t>
      </w:r>
      <w:r w:rsidRPr="004C0A56">
        <w:rPr>
          <w:noProof/>
          <w:lang w:val="en-IE"/>
        </w:rPr>
        <w:t xml:space="preserve"> based on an inclusive excellence approach</w:t>
      </w:r>
      <w:r w:rsidR="004C0A56" w:rsidRPr="003F2A4E">
        <w:rPr>
          <w:noProof/>
          <w:lang w:val="en-IE"/>
        </w:rPr>
        <w:t>.</w:t>
      </w:r>
      <w:r w:rsidRPr="004C0A56">
        <w:rPr>
          <w:noProof/>
          <w:lang w:val="en-IE"/>
        </w:rPr>
        <w:t xml:space="preserve"> </w:t>
      </w:r>
      <w:r w:rsidR="00211C18">
        <w:rPr>
          <w:noProof/>
          <w:lang w:val="en-IE"/>
        </w:rPr>
        <w:t>It</w:t>
      </w:r>
      <w:r w:rsidRPr="004C0A56">
        <w:rPr>
          <w:noProof/>
          <w:lang w:val="en-IE"/>
        </w:rPr>
        <w:t xml:space="preserve"> seeks to support excellent higher education while ensuring </w:t>
      </w:r>
      <w:r w:rsidR="001F57BD">
        <w:rPr>
          <w:noProof/>
          <w:lang w:val="en-IE"/>
        </w:rPr>
        <w:t xml:space="preserve">equality </w:t>
      </w:r>
      <w:r w:rsidRPr="004C0A56">
        <w:rPr>
          <w:noProof/>
          <w:lang w:val="en-IE"/>
        </w:rPr>
        <w:t>of participation with a special focus on under</w:t>
      </w:r>
      <w:r w:rsidR="009B47D6" w:rsidRPr="004C0A56">
        <w:rPr>
          <w:noProof/>
          <w:lang w:val="en-IE"/>
        </w:rPr>
        <w:t>-</w:t>
      </w:r>
      <w:r w:rsidRPr="004C0A56">
        <w:rPr>
          <w:noProof/>
          <w:lang w:val="en-IE"/>
        </w:rPr>
        <w:t>represented</w:t>
      </w:r>
      <w:r w:rsidR="00444D6A">
        <w:rPr>
          <w:noProof/>
          <w:lang w:val="en-IE"/>
        </w:rPr>
        <w:t xml:space="preserve"> and</w:t>
      </w:r>
      <w:r w:rsidRPr="004C0A56">
        <w:rPr>
          <w:noProof/>
          <w:lang w:val="en-IE"/>
        </w:rPr>
        <w:t xml:space="preserve"> disadvantaged communities. </w:t>
      </w:r>
      <w:r w:rsidR="004C0A56" w:rsidRPr="003F2A4E">
        <w:rPr>
          <w:noProof/>
        </w:rPr>
        <w:t xml:space="preserve">In order to address the underrepresentation of certain groups in higher education institutions, in particular in leadership positions, it </w:t>
      </w:r>
      <w:r w:rsidR="00535AD4">
        <w:rPr>
          <w:noProof/>
        </w:rPr>
        <w:t xml:space="preserve">would be appropriate </w:t>
      </w:r>
      <w:r w:rsidR="004C0A56" w:rsidRPr="003F2A4E">
        <w:rPr>
          <w:noProof/>
        </w:rPr>
        <w:t>to promote diversity and inclusion plans at higher education institutions, and in career promotion processes.</w:t>
      </w:r>
    </w:p>
    <w:p w14:paraId="4C090749" w14:textId="77777777" w:rsidR="000E6154" w:rsidRPr="00814C1E" w:rsidRDefault="4F8E3D3C" w:rsidP="00B918A1">
      <w:pPr>
        <w:pStyle w:val="ManualConsidrant"/>
        <w:rPr>
          <w:rFonts w:eastAsia="Times New Roman"/>
          <w:noProof/>
          <w:lang w:eastAsia="en-GB"/>
        </w:rPr>
      </w:pPr>
      <w:r>
        <w:rPr>
          <w:noProof/>
        </w:rPr>
        <w:t>(9)</w:t>
      </w:r>
      <w:r>
        <w:rPr>
          <w:noProof/>
        </w:rPr>
        <w:tab/>
      </w:r>
      <w:r w:rsidRPr="00814C1E">
        <w:rPr>
          <w:rFonts w:eastAsia="Times New Roman"/>
          <w:noProof/>
          <w:lang w:eastAsia="en-GB"/>
        </w:rPr>
        <w:t xml:space="preserve">This </w:t>
      </w:r>
      <w:r w:rsidR="00E33CC4">
        <w:rPr>
          <w:rFonts w:eastAsia="Times New Roman"/>
          <w:noProof/>
          <w:lang w:eastAsia="en-GB"/>
        </w:rPr>
        <w:t>Recommendation</w:t>
      </w:r>
      <w:r w:rsidR="00E33CC4" w:rsidRPr="00814C1E">
        <w:rPr>
          <w:rFonts w:eastAsia="Times New Roman"/>
          <w:noProof/>
          <w:lang w:eastAsia="en-GB"/>
        </w:rPr>
        <w:t xml:space="preserve"> </w:t>
      </w:r>
      <w:r w:rsidRPr="00814C1E">
        <w:rPr>
          <w:rFonts w:eastAsia="Times New Roman"/>
          <w:noProof/>
          <w:lang w:eastAsia="en-GB"/>
        </w:rPr>
        <w:t xml:space="preserve">is designed in close synergy with the Council </w:t>
      </w:r>
      <w:r w:rsidR="00EF4D9A" w:rsidRPr="00814C1E">
        <w:rPr>
          <w:rFonts w:eastAsia="Times New Roman"/>
          <w:noProof/>
          <w:lang w:eastAsia="en-GB"/>
        </w:rPr>
        <w:t>R</w:t>
      </w:r>
      <w:r w:rsidRPr="00814C1E">
        <w:rPr>
          <w:rFonts w:eastAsia="Times New Roman"/>
          <w:noProof/>
          <w:lang w:eastAsia="en-GB"/>
        </w:rPr>
        <w:t>ecommendation on establishing a European Framework to attract and retain research, innovation and entrepreneurial talents in Europe</w:t>
      </w:r>
      <w:r w:rsidR="00DB75D0">
        <w:rPr>
          <w:rStyle w:val="Allmrkuseviide"/>
          <w:rFonts w:eastAsia="Times New Roman"/>
          <w:noProof/>
          <w:lang w:eastAsia="en-GB"/>
        </w:rPr>
        <w:footnoteReference w:id="52"/>
      </w:r>
      <w:r w:rsidR="00E33CC4">
        <w:rPr>
          <w:rFonts w:eastAsia="Times New Roman"/>
          <w:noProof/>
          <w:lang w:eastAsia="en-GB"/>
        </w:rPr>
        <w:t>, which</w:t>
      </w:r>
      <w:r w:rsidRPr="00814C1E">
        <w:rPr>
          <w:rFonts w:eastAsia="Times New Roman"/>
          <w:noProof/>
          <w:lang w:eastAsia="en-GB"/>
        </w:rPr>
        <w:t xml:space="preserve"> </w:t>
      </w:r>
      <w:r w:rsidR="00E33CC4">
        <w:rPr>
          <w:rFonts w:eastAsia="Times New Roman"/>
          <w:noProof/>
          <w:lang w:eastAsia="en-GB"/>
        </w:rPr>
        <w:t>aims at more attractive research careers in all sectors, including academia, and at a</w:t>
      </w:r>
      <w:r w:rsidR="00E33CC4" w:rsidRPr="00C66726">
        <w:rPr>
          <w:noProof/>
          <w:lang w:eastAsia="en-GB"/>
        </w:rPr>
        <w:t xml:space="preserve"> </w:t>
      </w:r>
      <w:r w:rsidR="00E33CC4">
        <w:rPr>
          <w:noProof/>
          <w:lang w:eastAsia="en-GB"/>
        </w:rPr>
        <w:t>full recognition for all types of career paths</w:t>
      </w:r>
      <w:r w:rsidR="000400BC">
        <w:rPr>
          <w:rFonts w:eastAsia="Times New Roman"/>
          <w:noProof/>
          <w:lang w:eastAsia="en-GB"/>
        </w:rPr>
        <w:t>. Both recommendations</w:t>
      </w:r>
      <w:r w:rsidR="00E33CC4">
        <w:rPr>
          <w:rFonts w:eastAsia="Times New Roman"/>
          <w:noProof/>
          <w:lang w:eastAsia="en-GB"/>
        </w:rPr>
        <w:t xml:space="preserve"> </w:t>
      </w:r>
      <w:r w:rsidR="000400BC">
        <w:rPr>
          <w:rFonts w:eastAsia="Times New Roman"/>
          <w:noProof/>
          <w:lang w:eastAsia="en-GB"/>
        </w:rPr>
        <w:t xml:space="preserve">aim </w:t>
      </w:r>
      <w:r w:rsidR="00E33CC4">
        <w:rPr>
          <w:noProof/>
          <w:lang w:eastAsia="en-GB"/>
        </w:rPr>
        <w:t>at improving working conditions, stability of careers, skills, gender equality, inclusiveness and social protection measures for</w:t>
      </w:r>
      <w:r w:rsidR="000400BC">
        <w:rPr>
          <w:noProof/>
          <w:lang w:eastAsia="en-GB"/>
        </w:rPr>
        <w:t xml:space="preserve"> their respective target groups</w:t>
      </w:r>
      <w:r w:rsidR="00E33CC4">
        <w:rPr>
          <w:noProof/>
          <w:lang w:eastAsia="en-GB"/>
        </w:rPr>
        <w:t xml:space="preserve">. </w:t>
      </w:r>
    </w:p>
    <w:p w14:paraId="11695643" w14:textId="77777777" w:rsidR="00E443D7" w:rsidRPr="003310EF" w:rsidRDefault="261453EE" w:rsidP="00B918A1">
      <w:pPr>
        <w:pStyle w:val="ManualConsidrant"/>
        <w:rPr>
          <w:noProof/>
          <w:lang w:val="en-IE"/>
        </w:rPr>
      </w:pPr>
      <w:r>
        <w:rPr>
          <w:noProof/>
        </w:rPr>
        <w:t>(10)</w:t>
      </w:r>
      <w:r>
        <w:rPr>
          <w:noProof/>
        </w:rPr>
        <w:tab/>
      </w:r>
      <w:r w:rsidRPr="00814C1E">
        <w:rPr>
          <w:noProof/>
          <w:lang w:val="en-IE"/>
        </w:rPr>
        <w:t xml:space="preserve">This Recommendation aims to encourage better </w:t>
      </w:r>
      <w:r w:rsidR="71A0BBE8" w:rsidRPr="00814C1E">
        <w:rPr>
          <w:noProof/>
          <w:lang w:val="en-IE"/>
        </w:rPr>
        <w:t>recogni</w:t>
      </w:r>
      <w:r w:rsidRPr="00814C1E">
        <w:rPr>
          <w:noProof/>
          <w:lang w:val="en-IE"/>
        </w:rPr>
        <w:t>tion</w:t>
      </w:r>
      <w:r w:rsidR="71A0BBE8" w:rsidRPr="00814C1E">
        <w:rPr>
          <w:noProof/>
          <w:lang w:val="en-IE"/>
        </w:rPr>
        <w:t xml:space="preserve"> </w:t>
      </w:r>
      <w:r w:rsidRPr="00814C1E">
        <w:rPr>
          <w:noProof/>
          <w:lang w:val="en-IE"/>
        </w:rPr>
        <w:t xml:space="preserve">of </w:t>
      </w:r>
      <w:r w:rsidR="71A0BBE8" w:rsidRPr="00814C1E">
        <w:rPr>
          <w:noProof/>
          <w:lang w:val="en-IE"/>
        </w:rPr>
        <w:t xml:space="preserve">the energy and time that academic staff and other </w:t>
      </w:r>
      <w:r w:rsidR="00603919" w:rsidRPr="00814C1E">
        <w:rPr>
          <w:noProof/>
          <w:lang w:val="en-IE"/>
        </w:rPr>
        <w:t xml:space="preserve">professional services staff </w:t>
      </w:r>
      <w:r w:rsidR="71A0BBE8" w:rsidRPr="00814C1E">
        <w:rPr>
          <w:noProof/>
          <w:lang w:val="en-IE"/>
        </w:rPr>
        <w:t>devote to transnational cooperation activities</w:t>
      </w:r>
      <w:r w:rsidR="006651A7">
        <w:rPr>
          <w:noProof/>
          <w:lang w:val="en-IE"/>
        </w:rPr>
        <w:t>, for example</w:t>
      </w:r>
      <w:r w:rsidR="71A0BBE8" w:rsidRPr="00814C1E">
        <w:rPr>
          <w:noProof/>
          <w:lang w:val="en-IE"/>
        </w:rPr>
        <w:t xml:space="preserve"> the European Universities </w:t>
      </w:r>
      <w:r w:rsidR="00AE4F70">
        <w:rPr>
          <w:noProof/>
          <w:lang w:val="en-IE"/>
        </w:rPr>
        <w:t>alliances</w:t>
      </w:r>
      <w:r w:rsidR="71A0BBE8" w:rsidRPr="00814C1E">
        <w:rPr>
          <w:noProof/>
          <w:lang w:val="en-IE"/>
        </w:rPr>
        <w:t xml:space="preserve">. </w:t>
      </w:r>
      <w:r w:rsidR="006651A7">
        <w:rPr>
          <w:noProof/>
          <w:lang w:val="en-IE"/>
        </w:rPr>
        <w:t>For the full roll-out of t</w:t>
      </w:r>
      <w:r w:rsidR="71A0BBE8" w:rsidRPr="00814C1E">
        <w:rPr>
          <w:noProof/>
          <w:lang w:val="en-IE"/>
        </w:rPr>
        <w:t>his initiative</w:t>
      </w:r>
      <w:r w:rsidR="00E7449C">
        <w:rPr>
          <w:rStyle w:val="Allmrkuseviide"/>
          <w:noProof/>
          <w:lang w:val="en-IE"/>
        </w:rPr>
        <w:footnoteReference w:id="53"/>
      </w:r>
      <w:r w:rsidR="006651A7">
        <w:rPr>
          <w:noProof/>
          <w:lang w:val="en-IE"/>
        </w:rPr>
        <w:t xml:space="preserve">, and the encouragement of transnational cooperation activities, including </w:t>
      </w:r>
      <w:r w:rsidR="00555BFB">
        <w:rPr>
          <w:noProof/>
          <w:lang w:val="en-IE"/>
        </w:rPr>
        <w:t xml:space="preserve">development of </w:t>
      </w:r>
      <w:r w:rsidR="006651A7">
        <w:rPr>
          <w:noProof/>
          <w:lang w:val="en-IE"/>
        </w:rPr>
        <w:t>joint degrees,</w:t>
      </w:r>
      <w:r w:rsidR="71A0BBE8" w:rsidRPr="00814C1E">
        <w:rPr>
          <w:noProof/>
          <w:lang w:val="en-IE"/>
        </w:rPr>
        <w:t xml:space="preserve"> full involvement of staff and career </w:t>
      </w:r>
      <w:r w:rsidR="71A0BBE8" w:rsidRPr="00814C1E">
        <w:rPr>
          <w:noProof/>
          <w:lang w:val="en-IE"/>
        </w:rPr>
        <w:lastRenderedPageBreak/>
        <w:t>perspective</w:t>
      </w:r>
      <w:r w:rsidR="0048053F" w:rsidRPr="00814C1E">
        <w:rPr>
          <w:noProof/>
          <w:lang w:val="en-IE"/>
        </w:rPr>
        <w:t>s</w:t>
      </w:r>
      <w:r w:rsidR="71A0BBE8" w:rsidRPr="00814C1E">
        <w:rPr>
          <w:noProof/>
          <w:lang w:val="en-IE"/>
        </w:rPr>
        <w:t xml:space="preserve"> </w:t>
      </w:r>
      <w:r w:rsidR="00572D72">
        <w:rPr>
          <w:noProof/>
          <w:lang w:val="en-IE"/>
        </w:rPr>
        <w:t>for</w:t>
      </w:r>
      <w:r w:rsidR="71A0BBE8" w:rsidRPr="00814C1E">
        <w:rPr>
          <w:noProof/>
          <w:lang w:val="en-IE"/>
        </w:rPr>
        <w:t xml:space="preserve"> academic and </w:t>
      </w:r>
      <w:r w:rsidR="00572D72">
        <w:rPr>
          <w:noProof/>
          <w:lang w:val="en-IE"/>
        </w:rPr>
        <w:t>professional services</w:t>
      </w:r>
      <w:r w:rsidR="00572D72" w:rsidRPr="00814C1E">
        <w:rPr>
          <w:noProof/>
          <w:lang w:val="en-IE"/>
        </w:rPr>
        <w:t xml:space="preserve"> </w:t>
      </w:r>
      <w:r w:rsidR="71A0BBE8" w:rsidRPr="00814C1E">
        <w:rPr>
          <w:noProof/>
          <w:lang w:val="en-IE"/>
        </w:rPr>
        <w:t>staff involved in the strategic coordination functions</w:t>
      </w:r>
      <w:r w:rsidR="006651A7">
        <w:rPr>
          <w:noProof/>
          <w:lang w:val="en-IE"/>
        </w:rPr>
        <w:t xml:space="preserve"> </w:t>
      </w:r>
      <w:r w:rsidR="00E7449C">
        <w:rPr>
          <w:noProof/>
          <w:lang w:val="en-IE"/>
        </w:rPr>
        <w:t>should be promoted</w:t>
      </w:r>
      <w:r w:rsidR="71A0BBE8" w:rsidRPr="00814C1E">
        <w:rPr>
          <w:noProof/>
          <w:lang w:val="en-IE"/>
        </w:rPr>
        <w:t xml:space="preserve">. Incentivising </w:t>
      </w:r>
      <w:r w:rsidR="008B762B">
        <w:rPr>
          <w:noProof/>
          <w:lang w:val="en-IE"/>
        </w:rPr>
        <w:t>staff</w:t>
      </w:r>
      <w:r w:rsidR="00404C03">
        <w:rPr>
          <w:noProof/>
          <w:lang w:val="en-IE"/>
        </w:rPr>
        <w:t xml:space="preserve"> </w:t>
      </w:r>
      <w:r w:rsidR="71A0BBE8" w:rsidRPr="00814C1E">
        <w:rPr>
          <w:noProof/>
          <w:lang w:val="en-IE"/>
        </w:rPr>
        <w:t xml:space="preserve">to </w:t>
      </w:r>
      <w:r w:rsidR="6EFED5CD" w:rsidRPr="00814C1E">
        <w:rPr>
          <w:noProof/>
          <w:lang w:val="en-IE"/>
        </w:rPr>
        <w:t xml:space="preserve">promote transnational and intersectoral mobility </w:t>
      </w:r>
      <w:r w:rsidR="008B762B">
        <w:rPr>
          <w:noProof/>
          <w:lang w:val="en-IE"/>
        </w:rPr>
        <w:t xml:space="preserve">should </w:t>
      </w:r>
      <w:r w:rsidR="71A0BBE8" w:rsidRPr="00814C1E">
        <w:rPr>
          <w:noProof/>
          <w:lang w:val="en-IE"/>
        </w:rPr>
        <w:t xml:space="preserve">also greatly contribute to the development of transnational innovative and interdisciplinary </w:t>
      </w:r>
      <w:r w:rsidR="71A0BBE8" w:rsidRPr="003310EF">
        <w:rPr>
          <w:noProof/>
          <w:lang w:val="en-IE"/>
        </w:rPr>
        <w:t>educational program</w:t>
      </w:r>
      <w:r w:rsidR="003F2397" w:rsidRPr="003310EF">
        <w:rPr>
          <w:noProof/>
          <w:lang w:val="en-IE"/>
        </w:rPr>
        <w:t>mes</w:t>
      </w:r>
      <w:r w:rsidR="71A0BBE8" w:rsidRPr="003310EF">
        <w:rPr>
          <w:noProof/>
          <w:lang w:val="en-IE"/>
        </w:rPr>
        <w:t>, for the benefit of all students.</w:t>
      </w:r>
    </w:p>
    <w:p w14:paraId="111EFA8C" w14:textId="77777777" w:rsidR="008838AC" w:rsidRPr="00814C1E" w:rsidRDefault="6EFED5CD" w:rsidP="00B918A1">
      <w:pPr>
        <w:pStyle w:val="ManualConsidrant"/>
        <w:rPr>
          <w:noProof/>
          <w:lang w:val="en-IE"/>
        </w:rPr>
      </w:pPr>
      <w:r>
        <w:rPr>
          <w:noProof/>
        </w:rPr>
        <w:t>(11)</w:t>
      </w:r>
      <w:r>
        <w:rPr>
          <w:noProof/>
        </w:rPr>
        <w:tab/>
      </w:r>
      <w:r w:rsidRPr="003310EF">
        <w:rPr>
          <w:noProof/>
          <w:lang w:val="en-IE"/>
        </w:rPr>
        <w:t xml:space="preserve">This Recommendation aims </w:t>
      </w:r>
      <w:r w:rsidR="0005056B" w:rsidRPr="003310EF">
        <w:rPr>
          <w:noProof/>
          <w:lang w:val="en-IE"/>
        </w:rPr>
        <w:t>at</w:t>
      </w:r>
      <w:r w:rsidRPr="003310EF">
        <w:rPr>
          <w:noProof/>
          <w:lang w:val="en-IE"/>
        </w:rPr>
        <w:t xml:space="preserve"> promoting</w:t>
      </w:r>
      <w:r w:rsidR="6E9C0E48" w:rsidRPr="003310EF">
        <w:rPr>
          <w:noProof/>
          <w:lang w:val="en-IE"/>
        </w:rPr>
        <w:t xml:space="preserve"> </w:t>
      </w:r>
      <w:r w:rsidR="00572D72" w:rsidRPr="003310EF">
        <w:rPr>
          <w:noProof/>
          <w:lang w:val="en-IE"/>
        </w:rPr>
        <w:t>measures</w:t>
      </w:r>
      <w:r w:rsidR="6E9C0E48" w:rsidRPr="003310EF">
        <w:rPr>
          <w:noProof/>
          <w:lang w:val="en-IE"/>
        </w:rPr>
        <w:t xml:space="preserve"> to enhance continuous professional development, and to </w:t>
      </w:r>
      <w:r w:rsidR="008B762B" w:rsidRPr="003310EF">
        <w:rPr>
          <w:noProof/>
          <w:lang w:val="en-IE"/>
        </w:rPr>
        <w:t>further acknowledge</w:t>
      </w:r>
      <w:r w:rsidR="00572D72" w:rsidRPr="003310EF">
        <w:rPr>
          <w:noProof/>
          <w:lang w:val="en-IE"/>
        </w:rPr>
        <w:t xml:space="preserve"> </w:t>
      </w:r>
      <w:r w:rsidR="6E9C0E48" w:rsidRPr="003310EF">
        <w:rPr>
          <w:noProof/>
          <w:lang w:val="en-IE"/>
        </w:rPr>
        <w:t>the variety of activities that academic</w:t>
      </w:r>
      <w:r w:rsidR="774CDDC2" w:rsidRPr="003310EF">
        <w:rPr>
          <w:noProof/>
          <w:lang w:val="en-IE"/>
        </w:rPr>
        <w:t xml:space="preserve"> staff</w:t>
      </w:r>
      <w:r w:rsidR="6E9C0E48" w:rsidRPr="003310EF">
        <w:rPr>
          <w:noProof/>
          <w:lang w:val="en-IE"/>
        </w:rPr>
        <w:t xml:space="preserve"> perform. </w:t>
      </w:r>
      <w:r w:rsidR="00C04751" w:rsidRPr="003310EF">
        <w:rPr>
          <w:noProof/>
          <w:lang w:val="en-IE"/>
        </w:rPr>
        <w:t>This</w:t>
      </w:r>
      <w:r w:rsidR="16EE0CC9" w:rsidRPr="003310EF">
        <w:rPr>
          <w:noProof/>
          <w:lang w:val="en-IE"/>
        </w:rPr>
        <w:t xml:space="preserve"> will allow </w:t>
      </w:r>
      <w:r w:rsidR="00C04751" w:rsidRPr="003310EF">
        <w:rPr>
          <w:noProof/>
          <w:lang w:val="en-IE"/>
        </w:rPr>
        <w:t>for</w:t>
      </w:r>
      <w:r w:rsidR="16EE0CC9" w:rsidRPr="003310EF">
        <w:rPr>
          <w:noProof/>
          <w:lang w:val="en-IE"/>
        </w:rPr>
        <w:t xml:space="preserve"> full </w:t>
      </w:r>
      <w:r w:rsidR="00C04751" w:rsidRPr="003310EF">
        <w:rPr>
          <w:noProof/>
          <w:lang w:val="en-IE"/>
        </w:rPr>
        <w:t>staff</w:t>
      </w:r>
      <w:r w:rsidR="00C04751">
        <w:rPr>
          <w:noProof/>
          <w:lang w:val="en-IE"/>
        </w:rPr>
        <w:t xml:space="preserve"> </w:t>
      </w:r>
      <w:r w:rsidR="16EE0CC9" w:rsidRPr="00814C1E">
        <w:rPr>
          <w:noProof/>
          <w:lang w:val="en-IE"/>
        </w:rPr>
        <w:t>mobilisation to develop innovative teaching and learning</w:t>
      </w:r>
      <w:r w:rsidR="38F33065" w:rsidRPr="00814C1E">
        <w:rPr>
          <w:noProof/>
          <w:lang w:val="en-IE"/>
        </w:rPr>
        <w:t xml:space="preserve">, </w:t>
      </w:r>
      <w:r w:rsidR="003172CC" w:rsidRPr="00814C1E">
        <w:rPr>
          <w:noProof/>
          <w:lang w:val="en-IE"/>
        </w:rPr>
        <w:t xml:space="preserve">stimulate </w:t>
      </w:r>
      <w:r w:rsidR="00D00950">
        <w:rPr>
          <w:noProof/>
          <w:lang w:val="en-IE"/>
        </w:rPr>
        <w:t xml:space="preserve">the </w:t>
      </w:r>
      <w:r w:rsidR="00A10FBB" w:rsidRPr="00814C1E">
        <w:rPr>
          <w:noProof/>
          <w:lang w:val="en-IE"/>
        </w:rPr>
        <w:t xml:space="preserve">upskilling and reskilling mindset, and </w:t>
      </w:r>
      <w:r w:rsidR="003172CC" w:rsidRPr="00814C1E">
        <w:rPr>
          <w:noProof/>
          <w:lang w:val="en-IE"/>
        </w:rPr>
        <w:t xml:space="preserve">promote </w:t>
      </w:r>
      <w:r w:rsidR="38F33065" w:rsidRPr="00814C1E">
        <w:rPr>
          <w:noProof/>
          <w:lang w:val="en-IE"/>
        </w:rPr>
        <w:t xml:space="preserve">the acquisition of </w:t>
      </w:r>
      <w:r w:rsidR="16EE0CC9" w:rsidRPr="00814C1E">
        <w:rPr>
          <w:noProof/>
          <w:lang w:val="en-IE"/>
        </w:rPr>
        <w:t>skills for the green and digital transition</w:t>
      </w:r>
      <w:r w:rsidR="2F8D13AF" w:rsidRPr="00814C1E">
        <w:rPr>
          <w:noProof/>
          <w:lang w:val="en-IE"/>
        </w:rPr>
        <w:t>s</w:t>
      </w:r>
      <w:r w:rsidR="003B76BB" w:rsidRPr="00814C1E">
        <w:rPr>
          <w:noProof/>
          <w:lang w:val="en-IE"/>
        </w:rPr>
        <w:t xml:space="preserve">, including the use of </w:t>
      </w:r>
      <w:r w:rsidR="008273A2" w:rsidRPr="00814C1E">
        <w:rPr>
          <w:noProof/>
          <w:lang w:val="en-IE"/>
        </w:rPr>
        <w:t>artificial intelligence</w:t>
      </w:r>
      <w:r w:rsidR="003B76BB" w:rsidRPr="00814C1E">
        <w:rPr>
          <w:noProof/>
          <w:lang w:val="en-IE"/>
        </w:rPr>
        <w:t xml:space="preserve"> in teaching</w:t>
      </w:r>
      <w:r w:rsidR="38F33065" w:rsidRPr="00814C1E">
        <w:rPr>
          <w:noProof/>
          <w:lang w:val="en-IE"/>
        </w:rPr>
        <w:t>.</w:t>
      </w:r>
    </w:p>
    <w:p w14:paraId="6C7E74CB" w14:textId="77082BBD" w:rsidR="00F972F0" w:rsidRPr="007814C4" w:rsidRDefault="6EFED5CD" w:rsidP="00B918A1">
      <w:pPr>
        <w:pStyle w:val="ManualConsidrant"/>
        <w:rPr>
          <w:noProof/>
          <w:lang w:val="en-IE"/>
        </w:rPr>
      </w:pPr>
      <w:r>
        <w:rPr>
          <w:noProof/>
        </w:rPr>
        <w:t>(12)</w:t>
      </w:r>
      <w:r>
        <w:rPr>
          <w:noProof/>
        </w:rPr>
        <w:tab/>
      </w:r>
      <w:r w:rsidRPr="00814C1E">
        <w:rPr>
          <w:noProof/>
          <w:lang w:val="en-IE"/>
        </w:rPr>
        <w:t xml:space="preserve">This Recommendation aims to </w:t>
      </w:r>
      <w:r w:rsidR="00F14984">
        <w:rPr>
          <w:noProof/>
          <w:lang w:val="en-IE"/>
        </w:rPr>
        <w:t>promote competitive, fair</w:t>
      </w:r>
      <w:r>
        <w:rPr>
          <w:noProof/>
          <w:lang w:val="en-IE"/>
        </w:rPr>
        <w:t>, inclusive, accessible</w:t>
      </w:r>
      <w:r w:rsidR="00B1099D">
        <w:rPr>
          <w:noProof/>
          <w:lang w:val="en-IE"/>
        </w:rPr>
        <w:t xml:space="preserve">, </w:t>
      </w:r>
      <w:r w:rsidR="00F14984">
        <w:rPr>
          <w:noProof/>
          <w:lang w:val="en-IE"/>
        </w:rPr>
        <w:t xml:space="preserve">safe and non-discriminatory </w:t>
      </w:r>
      <w:r w:rsidR="6E9C0E48" w:rsidRPr="00814C1E">
        <w:rPr>
          <w:noProof/>
          <w:lang w:val="en-IE"/>
        </w:rPr>
        <w:t>conditions</w:t>
      </w:r>
      <w:r w:rsidR="6F79E759" w:rsidRPr="00814C1E">
        <w:rPr>
          <w:noProof/>
          <w:lang w:val="en-IE"/>
        </w:rPr>
        <w:t xml:space="preserve"> </w:t>
      </w:r>
      <w:r w:rsidR="00F14984">
        <w:rPr>
          <w:noProof/>
          <w:lang w:val="en-IE"/>
        </w:rPr>
        <w:t>for</w:t>
      </w:r>
      <w:r w:rsidR="6F79E759" w:rsidRPr="00814C1E">
        <w:rPr>
          <w:noProof/>
          <w:lang w:val="en-IE"/>
        </w:rPr>
        <w:t xml:space="preserve"> </w:t>
      </w:r>
      <w:r w:rsidR="6F79E759" w:rsidRPr="003310EF">
        <w:rPr>
          <w:noProof/>
          <w:lang w:val="en-IE"/>
        </w:rPr>
        <w:t>academic</w:t>
      </w:r>
      <w:r w:rsidR="00572D72" w:rsidRPr="003310EF">
        <w:rPr>
          <w:noProof/>
          <w:lang w:val="en-IE"/>
        </w:rPr>
        <w:t xml:space="preserve"> and professional services</w:t>
      </w:r>
      <w:r w:rsidR="6F79E759" w:rsidRPr="003310EF">
        <w:rPr>
          <w:noProof/>
          <w:lang w:val="en-IE"/>
        </w:rPr>
        <w:t xml:space="preserve"> staff</w:t>
      </w:r>
      <w:r w:rsidR="00F14984" w:rsidRPr="003310EF">
        <w:rPr>
          <w:noProof/>
          <w:lang w:val="en-IE"/>
        </w:rPr>
        <w:t xml:space="preserve"> to </w:t>
      </w:r>
      <w:r w:rsidR="00EA0DDF" w:rsidRPr="003310EF">
        <w:rPr>
          <w:noProof/>
          <w:lang w:val="en-IE"/>
        </w:rPr>
        <w:t xml:space="preserve">attract them to and </w:t>
      </w:r>
      <w:r w:rsidR="00F14984" w:rsidRPr="003310EF">
        <w:rPr>
          <w:noProof/>
          <w:lang w:val="en-IE"/>
        </w:rPr>
        <w:t xml:space="preserve">retain </w:t>
      </w:r>
      <w:r w:rsidR="00B02566" w:rsidRPr="003310EF">
        <w:rPr>
          <w:noProof/>
          <w:lang w:val="en-IE"/>
        </w:rPr>
        <w:t xml:space="preserve">them </w:t>
      </w:r>
      <w:r w:rsidR="00EA0DDF" w:rsidRPr="003310EF">
        <w:rPr>
          <w:noProof/>
          <w:lang w:val="en-IE"/>
        </w:rPr>
        <w:t>i</w:t>
      </w:r>
      <w:r w:rsidR="00F14984" w:rsidRPr="003310EF">
        <w:rPr>
          <w:noProof/>
          <w:lang w:val="en-IE"/>
        </w:rPr>
        <w:t>n the higher education sector</w:t>
      </w:r>
      <w:r w:rsidR="00756787" w:rsidRPr="003310EF">
        <w:rPr>
          <w:noProof/>
          <w:lang w:val="en-IE"/>
        </w:rPr>
        <w:t>.</w:t>
      </w:r>
      <w:r w:rsidR="6F79E759" w:rsidRPr="003310EF">
        <w:rPr>
          <w:noProof/>
          <w:lang w:val="en-IE"/>
        </w:rPr>
        <w:t xml:space="preserve"> </w:t>
      </w:r>
      <w:r w:rsidR="006429B7" w:rsidRPr="003310EF">
        <w:rPr>
          <w:noProof/>
          <w:lang w:val="en-IE"/>
        </w:rPr>
        <w:t>A</w:t>
      </w:r>
      <w:r w:rsidR="00774E17" w:rsidRPr="003310EF">
        <w:rPr>
          <w:noProof/>
          <w:lang w:val="en-IE"/>
        </w:rPr>
        <w:t xml:space="preserve">cademic staff </w:t>
      </w:r>
      <w:r w:rsidR="00740F64">
        <w:rPr>
          <w:noProof/>
          <w:lang w:val="en-IE"/>
        </w:rPr>
        <w:t>should be</w:t>
      </w:r>
      <w:r w:rsidR="006429B7" w:rsidRPr="003310EF">
        <w:rPr>
          <w:noProof/>
          <w:lang w:val="en-IE"/>
        </w:rPr>
        <w:t xml:space="preserve"> enabled to</w:t>
      </w:r>
      <w:r w:rsidR="00774E17" w:rsidRPr="003310EF">
        <w:rPr>
          <w:noProof/>
          <w:lang w:val="en-IE"/>
        </w:rPr>
        <w:t xml:space="preserve"> develop innovative </w:t>
      </w:r>
      <w:r w:rsidR="00F14984" w:rsidRPr="003310EF">
        <w:rPr>
          <w:noProof/>
          <w:lang w:val="en-IE"/>
        </w:rPr>
        <w:t xml:space="preserve">teaching </w:t>
      </w:r>
      <w:r w:rsidR="00F14984" w:rsidRPr="007814C4">
        <w:rPr>
          <w:noProof/>
          <w:lang w:val="en-IE"/>
        </w:rPr>
        <w:t xml:space="preserve">methods </w:t>
      </w:r>
      <w:r w:rsidR="006429B7" w:rsidRPr="007814C4">
        <w:rPr>
          <w:noProof/>
          <w:lang w:val="en-IE"/>
        </w:rPr>
        <w:t>in an</w:t>
      </w:r>
      <w:r w:rsidR="00774E17" w:rsidRPr="007814C4">
        <w:rPr>
          <w:noProof/>
          <w:lang w:val="en-IE"/>
        </w:rPr>
        <w:t xml:space="preserve"> environment</w:t>
      </w:r>
      <w:r w:rsidR="00B851C9" w:rsidRPr="007814C4">
        <w:rPr>
          <w:noProof/>
          <w:lang w:val="en-IE"/>
        </w:rPr>
        <w:t xml:space="preserve"> where working conditions are competitive and fair and</w:t>
      </w:r>
      <w:r w:rsidR="00774E17" w:rsidRPr="007814C4">
        <w:rPr>
          <w:noProof/>
          <w:lang w:val="en-IE"/>
        </w:rPr>
        <w:t xml:space="preserve"> where fundamental rights are protected and there is no fear </w:t>
      </w:r>
      <w:r w:rsidR="008926B9" w:rsidRPr="007814C4">
        <w:rPr>
          <w:noProof/>
          <w:lang w:val="en-IE"/>
        </w:rPr>
        <w:t xml:space="preserve">of </w:t>
      </w:r>
      <w:r w:rsidR="00774E17" w:rsidRPr="007814C4">
        <w:rPr>
          <w:noProof/>
          <w:lang w:val="en-IE"/>
        </w:rPr>
        <w:t>reprisal and/or undue external influence.</w:t>
      </w:r>
    </w:p>
    <w:p w14:paraId="4A5388D4" w14:textId="77777777" w:rsidR="00756787" w:rsidRPr="00814C1E" w:rsidRDefault="003F054B" w:rsidP="00B918A1">
      <w:pPr>
        <w:pStyle w:val="ManualConsidrant"/>
        <w:rPr>
          <w:noProof/>
          <w:szCs w:val="24"/>
          <w:lang w:val="en-IE"/>
        </w:rPr>
      </w:pPr>
      <w:r>
        <w:rPr>
          <w:noProof/>
        </w:rPr>
        <w:t>(13)</w:t>
      </w:r>
      <w:r>
        <w:rPr>
          <w:noProof/>
        </w:rPr>
        <w:tab/>
      </w:r>
      <w:bookmarkStart w:id="16" w:name="_Hlk156471226"/>
      <w:bookmarkStart w:id="17" w:name="_Hlk161070916"/>
      <w:r w:rsidRPr="003310EF">
        <w:rPr>
          <w:noProof/>
          <w:lang w:val="en-IE"/>
        </w:rPr>
        <w:t xml:space="preserve">This Recommendation also aims to improve </w:t>
      </w:r>
      <w:r w:rsidR="004A50B1" w:rsidRPr="003310EF">
        <w:rPr>
          <w:noProof/>
          <w:lang w:val="en-IE"/>
        </w:rPr>
        <w:t xml:space="preserve">the </w:t>
      </w:r>
      <w:r w:rsidRPr="003310EF">
        <w:rPr>
          <w:noProof/>
          <w:lang w:val="en-IE"/>
        </w:rPr>
        <w:t xml:space="preserve">evidence-base for developing human resources policies and strategies in higher education. </w:t>
      </w:r>
      <w:r w:rsidR="00681D8F" w:rsidRPr="003310EF">
        <w:rPr>
          <w:noProof/>
          <w:lang w:val="en-IE"/>
        </w:rPr>
        <w:t>Since</w:t>
      </w:r>
      <w:r w:rsidR="00681D8F" w:rsidRPr="00814C1E">
        <w:rPr>
          <w:noProof/>
          <w:lang w:val="en-IE"/>
        </w:rPr>
        <w:t xml:space="preserve"> no internationally comparable data are collected systematically on academic staff and diverging sets of staff categories are used in different higher education systems, it </w:t>
      </w:r>
      <w:r w:rsidR="00A15901">
        <w:rPr>
          <w:noProof/>
          <w:lang w:val="en-IE"/>
        </w:rPr>
        <w:t>would be appropriate</w:t>
      </w:r>
      <w:r w:rsidR="00681D8F" w:rsidRPr="00814C1E">
        <w:rPr>
          <w:noProof/>
          <w:lang w:val="en-IE"/>
        </w:rPr>
        <w:t xml:space="preserve"> to explore </w:t>
      </w:r>
      <w:r w:rsidR="000D03D5" w:rsidRPr="00814C1E">
        <w:rPr>
          <w:noProof/>
          <w:lang w:val="en-IE"/>
        </w:rPr>
        <w:t>the</w:t>
      </w:r>
      <w:r w:rsidR="00681D8F" w:rsidRPr="00814C1E">
        <w:rPr>
          <w:noProof/>
          <w:lang w:val="en-IE"/>
        </w:rPr>
        <w:t xml:space="preserve"> possibility for collecting more detailed data to sufficiently monitor </w:t>
      </w:r>
      <w:r w:rsidR="000D03D5" w:rsidRPr="00814C1E">
        <w:rPr>
          <w:noProof/>
          <w:lang w:val="en-IE"/>
        </w:rPr>
        <w:t xml:space="preserve">emerging </w:t>
      </w:r>
      <w:r w:rsidR="00681D8F" w:rsidRPr="00814C1E">
        <w:rPr>
          <w:noProof/>
          <w:lang w:val="en-IE"/>
        </w:rPr>
        <w:t xml:space="preserve">trends and to take truly evidence-based policy steps for deeper transnational cooperation at </w:t>
      </w:r>
      <w:r w:rsidR="0079737E">
        <w:rPr>
          <w:noProof/>
          <w:lang w:val="en-IE"/>
        </w:rPr>
        <w:t>the</w:t>
      </w:r>
      <w:r w:rsidR="0079737E" w:rsidRPr="00814C1E">
        <w:rPr>
          <w:noProof/>
          <w:lang w:val="en-IE"/>
        </w:rPr>
        <w:t xml:space="preserve"> </w:t>
      </w:r>
      <w:r w:rsidR="00681D8F" w:rsidRPr="00814C1E">
        <w:rPr>
          <w:noProof/>
          <w:lang w:val="en-IE"/>
        </w:rPr>
        <w:t>level</w:t>
      </w:r>
      <w:bookmarkEnd w:id="16"/>
      <w:bookmarkEnd w:id="17"/>
      <w:r w:rsidR="0079737E">
        <w:rPr>
          <w:noProof/>
          <w:lang w:val="en-IE"/>
        </w:rPr>
        <w:t xml:space="preserve"> of the Union</w:t>
      </w:r>
      <w:r w:rsidR="00681D8F" w:rsidRPr="00814C1E">
        <w:rPr>
          <w:noProof/>
          <w:lang w:val="en-IE"/>
        </w:rPr>
        <w:t>.</w:t>
      </w:r>
    </w:p>
    <w:p w14:paraId="01B51B3D" w14:textId="606AF16B" w:rsidR="00F75982" w:rsidRPr="00814C1E" w:rsidRDefault="002A5213" w:rsidP="00B918A1">
      <w:pPr>
        <w:pStyle w:val="ManualConsidrant"/>
        <w:spacing w:before="0"/>
        <w:rPr>
          <w:noProof/>
        </w:rPr>
      </w:pPr>
      <w:r>
        <w:rPr>
          <w:noProof/>
        </w:rPr>
        <w:t>(14)</w:t>
      </w:r>
      <w:r>
        <w:rPr>
          <w:noProof/>
        </w:rPr>
        <w:tab/>
      </w:r>
      <w:bookmarkStart w:id="18" w:name="_Hlk157435956"/>
      <w:r>
        <w:rPr>
          <w:noProof/>
        </w:rPr>
        <w:t>In support of this Recommendation, t</w:t>
      </w:r>
      <w:r w:rsidR="00115180">
        <w:rPr>
          <w:noProof/>
        </w:rPr>
        <w:t xml:space="preserve">he Commission intends to </w:t>
      </w:r>
      <w:r w:rsidR="00234B56">
        <w:rPr>
          <w:noProof/>
        </w:rPr>
        <w:t>c</w:t>
      </w:r>
      <w:r w:rsidR="00C35954" w:rsidRPr="00814C1E">
        <w:rPr>
          <w:noProof/>
        </w:rPr>
        <w:t>oordinat</w:t>
      </w:r>
      <w:r w:rsidR="00234B56">
        <w:rPr>
          <w:noProof/>
        </w:rPr>
        <w:t>e</w:t>
      </w:r>
      <w:r w:rsidR="00E717BE" w:rsidRPr="00814C1E">
        <w:rPr>
          <w:noProof/>
        </w:rPr>
        <w:t>, in close cooperation with Member States, higher education institutions and social partners</w:t>
      </w:r>
      <w:r w:rsidR="00BA4FC0">
        <w:rPr>
          <w:noProof/>
        </w:rPr>
        <w:t xml:space="preserve">, in the </w:t>
      </w:r>
      <w:r w:rsidR="007C7B5C" w:rsidRPr="00814C1E">
        <w:rPr>
          <w:noProof/>
        </w:rPr>
        <w:t>European Education Area Strategic Framework Working Group on Higher Education</w:t>
      </w:r>
      <w:r w:rsidR="00772332">
        <w:rPr>
          <w:rStyle w:val="Allmrkuseviide"/>
          <w:noProof/>
        </w:rPr>
        <w:footnoteReference w:id="54"/>
      </w:r>
      <w:r w:rsidR="00E717BE" w:rsidRPr="00814C1E">
        <w:rPr>
          <w:noProof/>
        </w:rPr>
        <w:t>,</w:t>
      </w:r>
      <w:r w:rsidR="00C35954" w:rsidRPr="00814C1E">
        <w:rPr>
          <w:noProof/>
        </w:rPr>
        <w:t xml:space="preserve"> the preparation of</w:t>
      </w:r>
      <w:r w:rsidR="00211C18">
        <w:rPr>
          <w:noProof/>
        </w:rPr>
        <w:t xml:space="preserve"> g</w:t>
      </w:r>
      <w:r w:rsidR="00211C18" w:rsidRPr="00814C1E">
        <w:rPr>
          <w:noProof/>
        </w:rPr>
        <w:t>uidelines</w:t>
      </w:r>
      <w:r w:rsidR="00211C18">
        <w:rPr>
          <w:noProof/>
        </w:rPr>
        <w:t xml:space="preserve"> </w:t>
      </w:r>
      <w:r w:rsidR="00211C18" w:rsidRPr="00814C1E">
        <w:rPr>
          <w:noProof/>
        </w:rPr>
        <w:t xml:space="preserve">to </w:t>
      </w:r>
      <w:r w:rsidR="00211C18">
        <w:rPr>
          <w:noProof/>
        </w:rPr>
        <w:t>provide advice how higher education institutions can improve attractiveness of academic and professional support staff careers</w:t>
      </w:r>
      <w:r w:rsidR="003F054B">
        <w:rPr>
          <w:noProof/>
        </w:rPr>
        <w:t>,</w:t>
      </w:r>
      <w:r w:rsidR="00211C18">
        <w:rPr>
          <w:noProof/>
        </w:rPr>
        <w:t xml:space="preserve"> and </w:t>
      </w:r>
      <w:r w:rsidR="00211C18" w:rsidRPr="00814C1E">
        <w:rPr>
          <w:noProof/>
        </w:rPr>
        <w:t>a European competence framework for academic staff</w:t>
      </w:r>
      <w:r w:rsidR="00211C18">
        <w:rPr>
          <w:noProof/>
        </w:rPr>
        <w:t>, to enhance permeability of careers across sectors, building on existing relevant competence frameworks at Union level, such as the European Competence Framework for Researchers (ResearchComp)</w:t>
      </w:r>
      <w:r w:rsidR="006F0E5A">
        <w:rPr>
          <w:noProof/>
        </w:rPr>
        <w:t>.</w:t>
      </w:r>
      <w:r w:rsidR="00077DD9">
        <w:rPr>
          <w:rStyle w:val="Allmrkuseviide"/>
          <w:noProof/>
        </w:rPr>
        <w:footnoteReference w:id="55"/>
      </w:r>
    </w:p>
    <w:bookmarkEnd w:id="18"/>
    <w:p w14:paraId="1BE2AE0E" w14:textId="77777777" w:rsidR="007D7E9F" w:rsidRPr="00814C1E" w:rsidRDefault="00234B56" w:rsidP="00B918A1">
      <w:pPr>
        <w:pStyle w:val="ManualConsidrant"/>
        <w:spacing w:before="0" w:after="0"/>
        <w:rPr>
          <w:noProof/>
        </w:rPr>
      </w:pPr>
      <w:r>
        <w:rPr>
          <w:noProof/>
        </w:rPr>
        <w:t>(15)</w:t>
      </w:r>
      <w:r>
        <w:rPr>
          <w:noProof/>
        </w:rPr>
        <w:tab/>
        <w:t xml:space="preserve">The Commission </w:t>
      </w:r>
      <w:r w:rsidR="00AB1356">
        <w:rPr>
          <w:noProof/>
        </w:rPr>
        <w:t xml:space="preserve">also </w:t>
      </w:r>
      <w:r>
        <w:rPr>
          <w:noProof/>
        </w:rPr>
        <w:t>intends to</w:t>
      </w:r>
      <w:r w:rsidR="00F93D8A">
        <w:rPr>
          <w:noProof/>
        </w:rPr>
        <w:t xml:space="preserve"> </w:t>
      </w:r>
      <w:r w:rsidR="003F054B">
        <w:rPr>
          <w:noProof/>
        </w:rPr>
        <w:t>s</w:t>
      </w:r>
      <w:r w:rsidR="003F054B" w:rsidRPr="00814C1E">
        <w:rPr>
          <w:noProof/>
        </w:rPr>
        <w:t>upport the organisation of a dedicated social dialogue</w:t>
      </w:r>
      <w:r w:rsidR="003F054B">
        <w:rPr>
          <w:noProof/>
        </w:rPr>
        <w:t xml:space="preserve"> at U</w:t>
      </w:r>
      <w:r w:rsidR="00AE4F70">
        <w:rPr>
          <w:noProof/>
        </w:rPr>
        <w:t>nion</w:t>
      </w:r>
      <w:r w:rsidR="003F054B">
        <w:rPr>
          <w:noProof/>
        </w:rPr>
        <w:t xml:space="preserve"> level</w:t>
      </w:r>
      <w:r w:rsidR="003F054B" w:rsidRPr="00814C1E">
        <w:rPr>
          <w:noProof/>
        </w:rPr>
        <w:t xml:space="preserve"> on the careers of academic and professional services staff</w:t>
      </w:r>
      <w:r w:rsidR="003F054B">
        <w:rPr>
          <w:noProof/>
        </w:rPr>
        <w:t>, f</w:t>
      </w:r>
      <w:r w:rsidR="00F93D8A">
        <w:rPr>
          <w:noProof/>
        </w:rPr>
        <w:t xml:space="preserve">acilitate </w:t>
      </w:r>
      <w:r w:rsidR="00F93D8A" w:rsidRPr="00814C1E">
        <w:rPr>
          <w:noProof/>
        </w:rPr>
        <w:t xml:space="preserve">peer learning between Member States on effective mechanisms </w:t>
      </w:r>
      <w:r w:rsidR="00F93D8A">
        <w:rPr>
          <w:noProof/>
        </w:rPr>
        <w:t>ensuring</w:t>
      </w:r>
      <w:r w:rsidR="00F93D8A" w:rsidRPr="00814C1E">
        <w:rPr>
          <w:noProof/>
        </w:rPr>
        <w:t xml:space="preserve"> recognition of academic and professional services staff engagement in transnational cooperation</w:t>
      </w:r>
      <w:r w:rsidR="00F93D8A">
        <w:rPr>
          <w:noProof/>
        </w:rPr>
        <w:t xml:space="preserve">, and </w:t>
      </w:r>
      <w:r w:rsidR="00F93D8A" w:rsidRPr="00814C1E">
        <w:rPr>
          <w:noProof/>
        </w:rPr>
        <w:t>innovative teaching activitie</w:t>
      </w:r>
      <w:r w:rsidR="00F93D8A">
        <w:rPr>
          <w:noProof/>
        </w:rPr>
        <w:t>s; and</w:t>
      </w:r>
      <w:r w:rsidR="00AE4F70">
        <w:rPr>
          <w:noProof/>
        </w:rPr>
        <w:t xml:space="preserve"> to</w:t>
      </w:r>
      <w:r w:rsidR="00F93D8A">
        <w:rPr>
          <w:noProof/>
        </w:rPr>
        <w:t xml:space="preserve"> support </w:t>
      </w:r>
      <w:r w:rsidR="00F93D8A" w:rsidRPr="00814C1E">
        <w:rPr>
          <w:noProof/>
        </w:rPr>
        <w:t>evidence-based policy and monitoring progress by mapping, through the European Higher Education Sector Observatory</w:t>
      </w:r>
      <w:r w:rsidR="00EE7AFA">
        <w:rPr>
          <w:rStyle w:val="Allmrkuseviide"/>
          <w:noProof/>
        </w:rPr>
        <w:footnoteReference w:id="56"/>
      </w:r>
      <w:r w:rsidR="00F93D8A" w:rsidRPr="00814C1E">
        <w:rPr>
          <w:noProof/>
        </w:rPr>
        <w:t xml:space="preserve"> existing data on higher education career and staffing policy at </w:t>
      </w:r>
      <w:r w:rsidR="00F93D8A">
        <w:rPr>
          <w:noProof/>
        </w:rPr>
        <w:t>European</w:t>
      </w:r>
      <w:r w:rsidR="00F93D8A" w:rsidRPr="00814C1E">
        <w:rPr>
          <w:noProof/>
        </w:rPr>
        <w:t>, national, and institutional level</w:t>
      </w:r>
      <w:r w:rsidR="00F93D8A">
        <w:rPr>
          <w:noProof/>
        </w:rPr>
        <w:t>, and</w:t>
      </w:r>
      <w:r w:rsidR="00F93D8A" w:rsidRPr="00814C1E">
        <w:rPr>
          <w:noProof/>
        </w:rPr>
        <w:t xml:space="preserve"> identifying data gaps and needs</w:t>
      </w:r>
      <w:r w:rsidR="00AE4F70">
        <w:rPr>
          <w:noProof/>
        </w:rPr>
        <w:t>.</w:t>
      </w:r>
      <w:r w:rsidR="00211C18">
        <w:rPr>
          <w:noProof/>
        </w:rPr>
        <w:t xml:space="preserve"> </w:t>
      </w:r>
    </w:p>
    <w:p w14:paraId="623C2016" w14:textId="77777777" w:rsidR="00C35954" w:rsidRPr="00814C1E" w:rsidRDefault="00BE1C78" w:rsidP="00B918A1">
      <w:pPr>
        <w:pStyle w:val="ManualConsidrant"/>
        <w:rPr>
          <w:noProof/>
        </w:rPr>
      </w:pPr>
      <w:r>
        <w:rPr>
          <w:noProof/>
        </w:rPr>
        <w:lastRenderedPageBreak/>
        <w:t>(16)</w:t>
      </w:r>
      <w:r>
        <w:rPr>
          <w:noProof/>
        </w:rPr>
        <w:tab/>
        <w:t>The Commission f</w:t>
      </w:r>
      <w:r w:rsidR="00C35954" w:rsidRPr="00814C1E">
        <w:rPr>
          <w:noProof/>
        </w:rPr>
        <w:t>oster</w:t>
      </w:r>
      <w:r>
        <w:rPr>
          <w:noProof/>
        </w:rPr>
        <w:t>s</w:t>
      </w:r>
      <w:r w:rsidR="00C35954" w:rsidRPr="00814C1E">
        <w:rPr>
          <w:noProof/>
        </w:rPr>
        <w:t xml:space="preserve"> synergies </w:t>
      </w:r>
      <w:r w:rsidR="006C616B">
        <w:rPr>
          <w:noProof/>
        </w:rPr>
        <w:t>with</w:t>
      </w:r>
      <w:r w:rsidR="00327F3B">
        <w:rPr>
          <w:noProof/>
        </w:rPr>
        <w:t xml:space="preserve"> the</w:t>
      </w:r>
      <w:r w:rsidR="00C35954" w:rsidRPr="004F5978">
        <w:rPr>
          <w:noProof/>
        </w:rPr>
        <w:t xml:space="preserve"> </w:t>
      </w:r>
      <w:r w:rsidR="008A7D3A" w:rsidRPr="00CA1DB3">
        <w:rPr>
          <w:noProof/>
        </w:rPr>
        <w:t>Recommendation on establishing a European Framework to attract and retain research, innovation, and entrepreneurial talents in Europe</w:t>
      </w:r>
      <w:r w:rsidR="008A7D3A">
        <w:rPr>
          <w:noProof/>
        </w:rPr>
        <w:t xml:space="preserve">, </w:t>
      </w:r>
      <w:r w:rsidR="00C35954" w:rsidRPr="00814C1E">
        <w:rPr>
          <w:noProof/>
        </w:rPr>
        <w:t xml:space="preserve">to </w:t>
      </w:r>
      <w:r w:rsidR="008A7D3A">
        <w:rPr>
          <w:noProof/>
        </w:rPr>
        <w:t>ensure improved and</w:t>
      </w:r>
      <w:r w:rsidR="008A7D3A" w:rsidRPr="00814C1E">
        <w:rPr>
          <w:noProof/>
        </w:rPr>
        <w:t xml:space="preserve"> consistent career</w:t>
      </w:r>
      <w:r w:rsidR="008A7D3A">
        <w:rPr>
          <w:noProof/>
        </w:rPr>
        <w:t>s</w:t>
      </w:r>
      <w:r w:rsidR="008A7D3A" w:rsidRPr="00814C1E">
        <w:rPr>
          <w:noProof/>
        </w:rPr>
        <w:t xml:space="preserve"> for</w:t>
      </w:r>
      <w:r w:rsidR="008A7D3A" w:rsidRPr="00814C1E" w:rsidDel="008A7D3A">
        <w:rPr>
          <w:noProof/>
        </w:rPr>
        <w:t xml:space="preserve"> </w:t>
      </w:r>
      <w:r w:rsidR="00C35954" w:rsidRPr="00814C1E">
        <w:rPr>
          <w:noProof/>
        </w:rPr>
        <w:t xml:space="preserve">academic staff </w:t>
      </w:r>
      <w:r w:rsidR="004F5978">
        <w:rPr>
          <w:noProof/>
        </w:rPr>
        <w:t xml:space="preserve">working </w:t>
      </w:r>
      <w:r w:rsidR="008531D1">
        <w:rPr>
          <w:noProof/>
        </w:rPr>
        <w:t>at</w:t>
      </w:r>
      <w:r w:rsidR="00C35954" w:rsidRPr="00814C1E">
        <w:rPr>
          <w:noProof/>
        </w:rPr>
        <w:t xml:space="preserve"> higher education institutions</w:t>
      </w:r>
      <w:r w:rsidR="0046300B" w:rsidRPr="00814C1E">
        <w:rPr>
          <w:noProof/>
        </w:rPr>
        <w:t xml:space="preserve"> and engaged in both </w:t>
      </w:r>
      <w:r w:rsidR="004F5978">
        <w:rPr>
          <w:noProof/>
        </w:rPr>
        <w:t>teaching</w:t>
      </w:r>
      <w:r w:rsidR="004F5978" w:rsidRPr="00814C1E">
        <w:rPr>
          <w:noProof/>
        </w:rPr>
        <w:t xml:space="preserve"> </w:t>
      </w:r>
      <w:r w:rsidR="0046300B" w:rsidRPr="00814C1E">
        <w:rPr>
          <w:noProof/>
        </w:rPr>
        <w:t>and research</w:t>
      </w:r>
      <w:r w:rsidR="00C35954" w:rsidRPr="00814C1E">
        <w:rPr>
          <w:noProof/>
        </w:rPr>
        <w:t>.</w:t>
      </w:r>
    </w:p>
    <w:p w14:paraId="37A7C409" w14:textId="6008C42D" w:rsidR="00056D23" w:rsidRDefault="00056D23" w:rsidP="00B918A1">
      <w:pPr>
        <w:pStyle w:val="ManualConsidrant"/>
        <w:spacing w:after="240"/>
        <w:rPr>
          <w:noProof/>
        </w:rPr>
      </w:pPr>
      <w:r>
        <w:rPr>
          <w:noProof/>
        </w:rPr>
        <w:t>(17)</w:t>
      </w:r>
      <w:r>
        <w:rPr>
          <w:noProof/>
        </w:rPr>
        <w:tab/>
        <w:t xml:space="preserve">The </w:t>
      </w:r>
      <w:r w:rsidR="00675664">
        <w:rPr>
          <w:noProof/>
        </w:rPr>
        <w:t>Commission</w:t>
      </w:r>
      <w:r>
        <w:rPr>
          <w:noProof/>
        </w:rPr>
        <w:t xml:space="preserve"> intends to</w:t>
      </w:r>
      <w:r w:rsidR="00F93D8A">
        <w:rPr>
          <w:noProof/>
        </w:rPr>
        <w:t xml:space="preserve"> f</w:t>
      </w:r>
      <w:r w:rsidR="00F93D8A" w:rsidRPr="00814C1E">
        <w:rPr>
          <w:noProof/>
        </w:rPr>
        <w:t>urther develop, promot</w:t>
      </w:r>
      <w:r w:rsidR="00F93D8A">
        <w:rPr>
          <w:noProof/>
        </w:rPr>
        <w:t>e</w:t>
      </w:r>
      <w:r w:rsidR="00F93D8A" w:rsidRPr="00814C1E">
        <w:rPr>
          <w:noProof/>
        </w:rPr>
        <w:t>, and provid</w:t>
      </w:r>
      <w:r w:rsidR="00F93D8A">
        <w:rPr>
          <w:noProof/>
        </w:rPr>
        <w:t>e</w:t>
      </w:r>
      <w:r w:rsidR="00F93D8A" w:rsidRPr="00814C1E">
        <w:rPr>
          <w:noProof/>
        </w:rPr>
        <w:t xml:space="preserve"> support to transnational educational cooperation and innovative educational excellence through relevant financing sources at U</w:t>
      </w:r>
      <w:r w:rsidR="00AE4F70">
        <w:rPr>
          <w:noProof/>
        </w:rPr>
        <w:t>nion</w:t>
      </w:r>
      <w:r w:rsidR="00F93D8A" w:rsidRPr="00814C1E">
        <w:rPr>
          <w:noProof/>
        </w:rPr>
        <w:t xml:space="preserve"> level, including through </w:t>
      </w:r>
      <w:r w:rsidR="00F81B41">
        <w:rPr>
          <w:noProof/>
        </w:rPr>
        <w:t xml:space="preserve">the </w:t>
      </w:r>
      <w:r w:rsidR="00F93D8A" w:rsidRPr="00814C1E">
        <w:rPr>
          <w:noProof/>
        </w:rPr>
        <w:t>Erasmus+</w:t>
      </w:r>
      <w:r w:rsidR="00F93D8A">
        <w:rPr>
          <w:noProof/>
        </w:rPr>
        <w:t xml:space="preserve"> </w:t>
      </w:r>
      <w:r w:rsidR="00F81B41">
        <w:rPr>
          <w:noProof/>
        </w:rPr>
        <w:t>programme</w:t>
      </w:r>
      <w:r w:rsidR="00D11545">
        <w:rPr>
          <w:rStyle w:val="Allmrkuseviide"/>
          <w:noProof/>
        </w:rPr>
        <w:footnoteReference w:id="57"/>
      </w:r>
      <w:r>
        <w:rPr>
          <w:noProof/>
        </w:rPr>
        <w:t>,</w:t>
      </w:r>
      <w:r w:rsidR="00F93D8A">
        <w:rPr>
          <w:noProof/>
        </w:rPr>
        <w:t xml:space="preserve"> and encourage Member States to use the Technical Support Instrument to receive tailor-made technical expertise to design and implement the necessary reforms in the higher education area, including by fostering cooperation between policy makers, research and academia and by developing the attractiveness of academic careers</w:t>
      </w:r>
      <w:r w:rsidR="00F81B41">
        <w:rPr>
          <w:noProof/>
        </w:rPr>
        <w:t>,</w:t>
      </w:r>
    </w:p>
    <w:p w14:paraId="3A185128" w14:textId="77777777" w:rsidR="001F5082" w:rsidRPr="00814C1E" w:rsidRDefault="00077DD9" w:rsidP="00F45ECC">
      <w:pPr>
        <w:pStyle w:val="Formuledadoption"/>
        <w:rPr>
          <w:noProof/>
        </w:rPr>
      </w:pPr>
      <w:r>
        <w:rPr>
          <w:noProof/>
        </w:rPr>
        <w:t>HAS ADOPTED THIS RECOMMENDATION</w:t>
      </w:r>
      <w:r w:rsidR="00747D38" w:rsidRPr="00814C1E">
        <w:rPr>
          <w:noProof/>
        </w:rPr>
        <w:t>:</w:t>
      </w:r>
    </w:p>
    <w:p w14:paraId="51EE34BC" w14:textId="77777777" w:rsidR="00F259D1" w:rsidRPr="00327F3B" w:rsidRDefault="006C5FDA" w:rsidP="00A66B39">
      <w:pPr>
        <w:jc w:val="center"/>
        <w:rPr>
          <w:b/>
          <w:bCs/>
          <w:noProof/>
        </w:rPr>
      </w:pPr>
      <w:r>
        <w:rPr>
          <w:b/>
          <w:bCs/>
          <w:noProof/>
        </w:rPr>
        <w:t>T</w:t>
      </w:r>
      <w:r w:rsidR="009C26A0" w:rsidRPr="003F0E7D">
        <w:rPr>
          <w:b/>
          <w:bCs/>
          <w:noProof/>
        </w:rPr>
        <w:t>ransnational cooperation</w:t>
      </w:r>
      <w:bookmarkStart w:id="19" w:name="_Hlk147293256"/>
    </w:p>
    <w:p w14:paraId="3A69FBE5" w14:textId="77777777" w:rsidR="0008680B" w:rsidRDefault="00A772C7" w:rsidP="008108CB">
      <w:pPr>
        <w:pStyle w:val="Point0"/>
        <w:spacing w:before="0"/>
        <w:rPr>
          <w:noProof/>
        </w:rPr>
      </w:pPr>
      <w:r>
        <w:rPr>
          <w:noProof/>
        </w:rPr>
        <w:t>1.</w:t>
      </w:r>
      <w:r>
        <w:rPr>
          <w:noProof/>
        </w:rPr>
        <w:tab/>
      </w:r>
      <w:r w:rsidR="00AE6126">
        <w:rPr>
          <w:noProof/>
        </w:rPr>
        <w:t>It is recommended that Member States promote</w:t>
      </w:r>
      <w:r w:rsidR="00693114">
        <w:rPr>
          <w:noProof/>
        </w:rPr>
        <w:t>,</w:t>
      </w:r>
      <w:r w:rsidR="00AE6126">
        <w:rPr>
          <w:noProof/>
        </w:rPr>
        <w:t xml:space="preserve"> recognise</w:t>
      </w:r>
      <w:r w:rsidR="00693114">
        <w:rPr>
          <w:noProof/>
        </w:rPr>
        <w:t xml:space="preserve"> and val</w:t>
      </w:r>
      <w:r w:rsidR="00911A67">
        <w:rPr>
          <w:noProof/>
        </w:rPr>
        <w:t>ue</w:t>
      </w:r>
      <w:r w:rsidR="00AE6126">
        <w:rPr>
          <w:noProof/>
        </w:rPr>
        <w:t xml:space="preserve"> engagement in deep</w:t>
      </w:r>
      <w:r w:rsidR="00456568">
        <w:rPr>
          <w:noProof/>
        </w:rPr>
        <w:t>er</w:t>
      </w:r>
      <w:r w:rsidR="00AE6126">
        <w:rPr>
          <w:noProof/>
        </w:rPr>
        <w:t xml:space="preserve"> transnational cooperation, </w:t>
      </w:r>
      <w:r w:rsidR="00FA5016">
        <w:rPr>
          <w:noProof/>
        </w:rPr>
        <w:t>in particular</w:t>
      </w:r>
      <w:r w:rsidR="00AE6126">
        <w:rPr>
          <w:noProof/>
        </w:rPr>
        <w:t xml:space="preserve">: </w:t>
      </w:r>
    </w:p>
    <w:p w14:paraId="0EF153BD" w14:textId="77777777" w:rsidR="003F2A4E" w:rsidRPr="00B21219" w:rsidRDefault="008B095F" w:rsidP="003F0E7D">
      <w:pPr>
        <w:pStyle w:val="Point1"/>
        <w:shd w:val="clear" w:color="auto" w:fill="FFFFFF" w:themeFill="background1"/>
        <w:spacing w:before="0" w:after="0"/>
        <w:rPr>
          <w:noProof/>
        </w:rPr>
      </w:pPr>
      <w:r>
        <w:rPr>
          <w:noProof/>
        </w:rPr>
        <w:t>(a)</w:t>
      </w:r>
      <w:r w:rsidR="00FD40FD" w:rsidRPr="00814C1E">
        <w:rPr>
          <w:noProof/>
        </w:rPr>
        <w:tab/>
      </w:r>
      <w:r w:rsidR="00675664" w:rsidRPr="00B21219">
        <w:rPr>
          <w:noProof/>
        </w:rPr>
        <w:t>e</w:t>
      </w:r>
      <w:r w:rsidR="003F2A4E" w:rsidRPr="00B21219">
        <w:rPr>
          <w:noProof/>
        </w:rPr>
        <w:t>ncourage and support engagement of academic and professional services staff in deep</w:t>
      </w:r>
      <w:r w:rsidR="00DA2966" w:rsidRPr="00B21219">
        <w:rPr>
          <w:noProof/>
        </w:rPr>
        <w:t>er</w:t>
      </w:r>
      <w:r w:rsidR="003F2A4E" w:rsidRPr="00B21219">
        <w:rPr>
          <w:noProof/>
        </w:rPr>
        <w:t xml:space="preserve"> transnational cooperation activities such as joint degree programmes or joint education and training offers leading to micro-credentials</w:t>
      </w:r>
      <w:r w:rsidR="00B22A37">
        <w:rPr>
          <w:rStyle w:val="Allmrkuseviide"/>
          <w:noProof/>
        </w:rPr>
        <w:footnoteReference w:id="58"/>
      </w:r>
      <w:r w:rsidR="003F2A4E" w:rsidRPr="00B21219">
        <w:rPr>
          <w:noProof/>
        </w:rPr>
        <w:t>, at all levels and across all disciplines, by val</w:t>
      </w:r>
      <w:r w:rsidR="00327F3B">
        <w:rPr>
          <w:noProof/>
        </w:rPr>
        <w:t>uing</w:t>
      </w:r>
      <w:r w:rsidR="003F2A4E" w:rsidRPr="00B21219">
        <w:rPr>
          <w:noProof/>
        </w:rPr>
        <w:t xml:space="preserve"> such activities. For example, by:</w:t>
      </w:r>
    </w:p>
    <w:p w14:paraId="5B264171" w14:textId="77777777" w:rsidR="0008680B" w:rsidRPr="00B21219" w:rsidRDefault="008B095F">
      <w:pPr>
        <w:pStyle w:val="Point2"/>
        <w:rPr>
          <w:noProof/>
        </w:rPr>
      </w:pPr>
      <w:r>
        <w:rPr>
          <w:noProof/>
        </w:rPr>
        <w:t>(i)</w:t>
      </w:r>
      <w:r w:rsidR="00675664" w:rsidRPr="003F0E7D">
        <w:rPr>
          <w:noProof/>
          <w:shd w:val="clear" w:color="auto" w:fill="FFFFFF" w:themeFill="background1"/>
        </w:rPr>
        <w:tab/>
      </w:r>
      <w:r w:rsidR="00E725C4">
        <w:rPr>
          <w:noProof/>
          <w:shd w:val="clear" w:color="auto" w:fill="FFFFFF" w:themeFill="background1"/>
        </w:rPr>
        <w:t xml:space="preserve">considering the </w:t>
      </w:r>
      <w:r w:rsidR="0008680B" w:rsidRPr="00B21219">
        <w:rPr>
          <w:noProof/>
        </w:rPr>
        <w:t>integrati</w:t>
      </w:r>
      <w:r w:rsidR="00E725C4">
        <w:rPr>
          <w:noProof/>
        </w:rPr>
        <w:t>on of</w:t>
      </w:r>
      <w:r w:rsidR="0008680B" w:rsidRPr="00B21219">
        <w:rPr>
          <w:noProof/>
        </w:rPr>
        <w:t xml:space="preserve"> objectives related to transnational educational cooperation in </w:t>
      </w:r>
      <w:r w:rsidR="00F75316" w:rsidRPr="00B21219">
        <w:rPr>
          <w:noProof/>
        </w:rPr>
        <w:t xml:space="preserve">career </w:t>
      </w:r>
      <w:r w:rsidR="009C4506" w:rsidRPr="00B21219">
        <w:rPr>
          <w:noProof/>
        </w:rPr>
        <w:t>pathways</w:t>
      </w:r>
      <w:r w:rsidR="00F75316" w:rsidRPr="00B21219">
        <w:rPr>
          <w:noProof/>
        </w:rPr>
        <w:t xml:space="preserve">, and in </w:t>
      </w:r>
      <w:r w:rsidR="0008680B" w:rsidRPr="00B21219">
        <w:rPr>
          <w:noProof/>
        </w:rPr>
        <w:t>staffing policy at national and institutional levels</w:t>
      </w:r>
      <w:r w:rsidR="00967B50" w:rsidRPr="00B21219">
        <w:rPr>
          <w:noProof/>
        </w:rPr>
        <w:t>;</w:t>
      </w:r>
    </w:p>
    <w:p w14:paraId="65A96656" w14:textId="77777777" w:rsidR="0008680B" w:rsidRPr="00B21219" w:rsidRDefault="008B095F" w:rsidP="00E46820">
      <w:pPr>
        <w:pStyle w:val="Point2"/>
        <w:shd w:val="clear" w:color="auto" w:fill="FFFFFF" w:themeFill="background1"/>
        <w:spacing w:before="0" w:after="0"/>
        <w:ind w:left="1985"/>
        <w:rPr>
          <w:noProof/>
        </w:rPr>
      </w:pPr>
      <w:r>
        <w:rPr>
          <w:noProof/>
        </w:rPr>
        <w:t>(ii)</w:t>
      </w:r>
      <w:r w:rsidR="00675664" w:rsidRPr="00B21219">
        <w:rPr>
          <w:noProof/>
        </w:rPr>
        <w:tab/>
      </w:r>
      <w:r w:rsidR="0008680B" w:rsidRPr="00B21219">
        <w:rPr>
          <w:noProof/>
        </w:rPr>
        <w:t xml:space="preserve">taking the development of joint transnational educational activities into account </w:t>
      </w:r>
      <w:r w:rsidR="006D042E" w:rsidRPr="00B21219">
        <w:rPr>
          <w:noProof/>
        </w:rPr>
        <w:t>in the academic career appraisal</w:t>
      </w:r>
      <w:r w:rsidR="0008680B" w:rsidRPr="00B21219">
        <w:rPr>
          <w:noProof/>
        </w:rPr>
        <w:t xml:space="preserve"> of academic</w:t>
      </w:r>
      <w:r w:rsidR="009C2212" w:rsidRPr="00B21219">
        <w:rPr>
          <w:noProof/>
        </w:rPr>
        <w:t xml:space="preserve"> staff</w:t>
      </w:r>
      <w:r w:rsidR="00967B50" w:rsidRPr="00B21219">
        <w:rPr>
          <w:noProof/>
        </w:rPr>
        <w:t>;</w:t>
      </w:r>
    </w:p>
    <w:p w14:paraId="2EC7ECBA" w14:textId="77777777" w:rsidR="00D839E5" w:rsidRPr="00B21219" w:rsidRDefault="008B095F" w:rsidP="00E46820">
      <w:pPr>
        <w:pStyle w:val="Point2"/>
        <w:shd w:val="clear" w:color="auto" w:fill="FFFFFF" w:themeFill="background1"/>
        <w:spacing w:before="0"/>
        <w:ind w:left="1985"/>
        <w:rPr>
          <w:noProof/>
        </w:rPr>
      </w:pPr>
      <w:r>
        <w:rPr>
          <w:noProof/>
        </w:rPr>
        <w:t>(iii)</w:t>
      </w:r>
      <w:r w:rsidR="00675664" w:rsidRPr="00B21219">
        <w:rPr>
          <w:noProof/>
        </w:rPr>
        <w:tab/>
      </w:r>
      <w:r w:rsidR="006D042E" w:rsidRPr="00B21219">
        <w:rPr>
          <w:noProof/>
        </w:rPr>
        <w:t xml:space="preserve"> </w:t>
      </w:r>
      <w:r w:rsidR="00E725C4">
        <w:rPr>
          <w:noProof/>
        </w:rPr>
        <w:t xml:space="preserve">taking into account </w:t>
      </w:r>
      <w:r w:rsidR="006D042E" w:rsidRPr="00B21219">
        <w:rPr>
          <w:noProof/>
        </w:rPr>
        <w:t>work related to transnational cooperation in the total working hours of academic staff</w:t>
      </w:r>
      <w:r w:rsidR="00077DD9">
        <w:rPr>
          <w:noProof/>
        </w:rPr>
        <w:t>;</w:t>
      </w:r>
    </w:p>
    <w:p w14:paraId="46D15C3C" w14:textId="77777777" w:rsidR="00E205A8" w:rsidRPr="00814C1E" w:rsidRDefault="008B095F" w:rsidP="003F0E7D">
      <w:pPr>
        <w:pStyle w:val="Point1"/>
        <w:shd w:val="clear" w:color="auto" w:fill="FFFFFF" w:themeFill="background1"/>
        <w:rPr>
          <w:noProof/>
        </w:rPr>
      </w:pPr>
      <w:r>
        <w:rPr>
          <w:noProof/>
        </w:rPr>
        <w:t>(b)</w:t>
      </w:r>
      <w:r w:rsidR="00675664" w:rsidRPr="003F0E7D">
        <w:rPr>
          <w:noProof/>
        </w:rPr>
        <w:tab/>
      </w:r>
      <w:r w:rsidR="00675664" w:rsidRPr="00B21219">
        <w:rPr>
          <w:noProof/>
        </w:rPr>
        <w:t>p</w:t>
      </w:r>
      <w:r w:rsidR="00E205A8" w:rsidRPr="00B21219">
        <w:rPr>
          <w:noProof/>
        </w:rPr>
        <w:t>ursue the objective, in dialogue with the higher education sector, to</w:t>
      </w:r>
      <w:r w:rsidR="00870A37">
        <w:rPr>
          <w:noProof/>
        </w:rPr>
        <w:t xml:space="preserve"> develop</w:t>
      </w:r>
      <w:r w:rsidR="00E205A8" w:rsidRPr="00B21219">
        <w:rPr>
          <w:noProof/>
        </w:rPr>
        <w:t xml:space="preserve">  </w:t>
      </w:r>
      <w:r w:rsidR="00D15162" w:rsidRPr="00B21219">
        <w:rPr>
          <w:noProof/>
        </w:rPr>
        <w:t>long</w:t>
      </w:r>
      <w:r w:rsidR="006943A5">
        <w:rPr>
          <w:noProof/>
        </w:rPr>
        <w:t>-</w:t>
      </w:r>
      <w:r w:rsidR="00D15162" w:rsidRPr="00B21219">
        <w:rPr>
          <w:noProof/>
        </w:rPr>
        <w:t xml:space="preserve">term </w:t>
      </w:r>
      <w:r w:rsidR="00E205A8" w:rsidRPr="00B21219">
        <w:rPr>
          <w:noProof/>
        </w:rPr>
        <w:t>career perspectives and talent management measures</w:t>
      </w:r>
      <w:r w:rsidR="00E205A8" w:rsidRPr="00814C1E">
        <w:rPr>
          <w:noProof/>
        </w:rPr>
        <w:t xml:space="preserve"> targeting academic and professional services staff involved in the coordination and management of alliances of higher education institutions, such as European Universities alliance</w:t>
      </w:r>
      <w:r w:rsidR="00C50C63">
        <w:rPr>
          <w:noProof/>
        </w:rPr>
        <w:t>s</w:t>
      </w:r>
      <w:r w:rsidR="00967B50">
        <w:rPr>
          <w:noProof/>
        </w:rPr>
        <w:t>;</w:t>
      </w:r>
    </w:p>
    <w:p w14:paraId="68CC3A45" w14:textId="77777777" w:rsidR="00F259D1" w:rsidRPr="00814C1E" w:rsidRDefault="008B095F" w:rsidP="00732E7E">
      <w:pPr>
        <w:pStyle w:val="Point1"/>
        <w:rPr>
          <w:noProof/>
        </w:rPr>
      </w:pPr>
      <w:r>
        <w:rPr>
          <w:noProof/>
        </w:rPr>
        <w:t>(c)</w:t>
      </w:r>
      <w:r w:rsidR="00675664" w:rsidRPr="00675664">
        <w:rPr>
          <w:noProof/>
        </w:rPr>
        <w:tab/>
      </w:r>
      <w:r w:rsidR="00675664">
        <w:rPr>
          <w:noProof/>
        </w:rPr>
        <w:t>encourage</w:t>
      </w:r>
      <w:r w:rsidR="00E205A8" w:rsidRPr="00814C1E">
        <w:rPr>
          <w:noProof/>
        </w:rPr>
        <w:t xml:space="preserve"> the d</w:t>
      </w:r>
      <w:r w:rsidR="00E9067B" w:rsidRPr="00814C1E">
        <w:rPr>
          <w:noProof/>
        </w:rPr>
        <w:t>evelopment</w:t>
      </w:r>
      <w:r w:rsidR="003322C6">
        <w:rPr>
          <w:noProof/>
        </w:rPr>
        <w:t xml:space="preserve"> and promotion</w:t>
      </w:r>
      <w:r w:rsidR="00E9067B" w:rsidRPr="00814C1E">
        <w:rPr>
          <w:noProof/>
        </w:rPr>
        <w:t xml:space="preserve"> of new </w:t>
      </w:r>
      <w:r w:rsidR="00F1387E" w:rsidRPr="00814C1E">
        <w:rPr>
          <w:noProof/>
        </w:rPr>
        <w:t>opportunities for</w:t>
      </w:r>
      <w:r w:rsidR="00E9067B" w:rsidRPr="00814C1E">
        <w:rPr>
          <w:noProof/>
        </w:rPr>
        <w:t xml:space="preserve"> </w:t>
      </w:r>
      <w:r w:rsidR="00456E9D" w:rsidRPr="00814C1E">
        <w:rPr>
          <w:noProof/>
        </w:rPr>
        <w:t>European and international mobility</w:t>
      </w:r>
      <w:r w:rsidR="007E6D5E">
        <w:rPr>
          <w:noProof/>
        </w:rPr>
        <w:t>, offering also alternative forms for those who cannot travel,</w:t>
      </w:r>
      <w:r w:rsidR="00456E9D" w:rsidRPr="00814C1E">
        <w:rPr>
          <w:noProof/>
        </w:rPr>
        <w:t xml:space="preserve"> for academic </w:t>
      </w:r>
      <w:r w:rsidR="00390AA3" w:rsidRPr="00814C1E">
        <w:rPr>
          <w:noProof/>
        </w:rPr>
        <w:t xml:space="preserve">and </w:t>
      </w:r>
      <w:r w:rsidR="00165479" w:rsidRPr="00814C1E">
        <w:rPr>
          <w:noProof/>
        </w:rPr>
        <w:t>professional services staff</w:t>
      </w:r>
      <w:r w:rsidR="002F4C67">
        <w:rPr>
          <w:noProof/>
        </w:rPr>
        <w:t xml:space="preserve">, </w:t>
      </w:r>
      <w:r w:rsidR="003322C6">
        <w:rPr>
          <w:noProof/>
        </w:rPr>
        <w:t xml:space="preserve">also by leveraging existing instruments for career management and labour mobility, such as the Europass </w:t>
      </w:r>
      <w:r w:rsidR="003322C6">
        <w:rPr>
          <w:noProof/>
        </w:rPr>
        <w:lastRenderedPageBreak/>
        <w:t>platform</w:t>
      </w:r>
      <w:r w:rsidR="00772332">
        <w:rPr>
          <w:rStyle w:val="Allmrkuseviide"/>
          <w:noProof/>
        </w:rPr>
        <w:footnoteReference w:id="59"/>
      </w:r>
      <w:r w:rsidR="00772332">
        <w:rPr>
          <w:noProof/>
        </w:rPr>
        <w:t xml:space="preserve"> </w:t>
      </w:r>
      <w:r w:rsidR="003322C6">
        <w:rPr>
          <w:noProof/>
        </w:rPr>
        <w:t xml:space="preserve">and the </w:t>
      </w:r>
      <w:r w:rsidR="003322C6" w:rsidRPr="5E2F37EF">
        <w:rPr>
          <w:rFonts w:eastAsia="Times New Roman"/>
          <w:noProof/>
          <w:color w:val="000000" w:themeColor="text1"/>
          <w:szCs w:val="24"/>
        </w:rPr>
        <w:t>European cooperation network of employment services (EURES)</w:t>
      </w:r>
      <w:r w:rsidR="00772332">
        <w:rPr>
          <w:rStyle w:val="Allmrkuseviide"/>
          <w:rFonts w:eastAsia="Times New Roman"/>
          <w:noProof/>
          <w:color w:val="000000" w:themeColor="text1"/>
          <w:szCs w:val="24"/>
        </w:rPr>
        <w:footnoteReference w:id="60"/>
      </w:r>
      <w:r w:rsidR="00E64895">
        <w:rPr>
          <w:rFonts w:eastAsia="Times New Roman"/>
          <w:noProof/>
          <w:color w:val="000000" w:themeColor="text1"/>
          <w:szCs w:val="24"/>
        </w:rPr>
        <w:t xml:space="preserve"> </w:t>
      </w:r>
      <w:r w:rsidR="003322C6" w:rsidRPr="5E2F37EF">
        <w:rPr>
          <w:rFonts w:eastAsia="Times New Roman"/>
          <w:noProof/>
          <w:color w:val="000000" w:themeColor="text1"/>
          <w:szCs w:val="24"/>
        </w:rPr>
        <w:t>mobility advisers</w:t>
      </w:r>
      <w:r w:rsidR="00967B50">
        <w:rPr>
          <w:noProof/>
        </w:rPr>
        <w:t>;</w:t>
      </w:r>
    </w:p>
    <w:p w14:paraId="7DE4460D" w14:textId="77777777" w:rsidR="00ED2C0A" w:rsidRPr="00814C1E" w:rsidRDefault="008B095F" w:rsidP="00732E7E">
      <w:pPr>
        <w:pStyle w:val="Point1"/>
        <w:rPr>
          <w:noProof/>
        </w:rPr>
      </w:pPr>
      <w:r>
        <w:rPr>
          <w:noProof/>
        </w:rPr>
        <w:t>(d)</w:t>
      </w:r>
      <w:r w:rsidR="00675664" w:rsidRPr="00675664">
        <w:rPr>
          <w:noProof/>
        </w:rPr>
        <w:tab/>
      </w:r>
      <w:r w:rsidR="00675664">
        <w:rPr>
          <w:noProof/>
        </w:rPr>
        <w:t>s</w:t>
      </w:r>
      <w:r w:rsidR="00CE6EE2" w:rsidRPr="00814C1E">
        <w:rPr>
          <w:noProof/>
        </w:rPr>
        <w:t>upport higher education institution</w:t>
      </w:r>
      <w:r w:rsidR="004460E0" w:rsidRPr="00814C1E">
        <w:rPr>
          <w:noProof/>
        </w:rPr>
        <w:t>s</w:t>
      </w:r>
      <w:r w:rsidR="00CE6EE2" w:rsidRPr="00814C1E">
        <w:rPr>
          <w:noProof/>
        </w:rPr>
        <w:t xml:space="preserve"> </w:t>
      </w:r>
      <w:r w:rsidR="00E205A8" w:rsidRPr="00814C1E">
        <w:rPr>
          <w:noProof/>
        </w:rPr>
        <w:t xml:space="preserve">to ensure </w:t>
      </w:r>
      <w:r w:rsidR="00CE6EE2" w:rsidRPr="00814C1E">
        <w:rPr>
          <w:noProof/>
        </w:rPr>
        <w:t xml:space="preserve">that they can </w:t>
      </w:r>
      <w:r w:rsidR="00675664">
        <w:rPr>
          <w:noProof/>
        </w:rPr>
        <w:t xml:space="preserve">dedicate </w:t>
      </w:r>
      <w:r w:rsidR="00FA5016">
        <w:rPr>
          <w:noProof/>
        </w:rPr>
        <w:t>adequate</w:t>
      </w:r>
      <w:r w:rsidR="00E46A89" w:rsidRPr="00814C1E">
        <w:rPr>
          <w:noProof/>
        </w:rPr>
        <w:t xml:space="preserve"> </w:t>
      </w:r>
      <w:r w:rsidR="00F53A38" w:rsidRPr="00814C1E">
        <w:rPr>
          <w:noProof/>
        </w:rPr>
        <w:t xml:space="preserve">human resources </w:t>
      </w:r>
      <w:r w:rsidR="00E46A89" w:rsidRPr="00814C1E">
        <w:rPr>
          <w:noProof/>
        </w:rPr>
        <w:t xml:space="preserve">capacity </w:t>
      </w:r>
      <w:r w:rsidR="00675664">
        <w:rPr>
          <w:noProof/>
        </w:rPr>
        <w:t>to</w:t>
      </w:r>
      <w:r w:rsidR="00E46A89" w:rsidRPr="00814C1E">
        <w:rPr>
          <w:noProof/>
        </w:rPr>
        <w:t xml:space="preserve"> transnational cooperation</w:t>
      </w:r>
      <w:r w:rsidR="00967B50">
        <w:rPr>
          <w:noProof/>
        </w:rPr>
        <w:t>;</w:t>
      </w:r>
    </w:p>
    <w:p w14:paraId="39604A86" w14:textId="77777777" w:rsidR="0008680B" w:rsidRDefault="008B095F" w:rsidP="00732E7E">
      <w:pPr>
        <w:pStyle w:val="Point1"/>
        <w:rPr>
          <w:noProof/>
        </w:rPr>
      </w:pPr>
      <w:r>
        <w:rPr>
          <w:noProof/>
        </w:rPr>
        <w:t>(e)</w:t>
      </w:r>
      <w:r w:rsidR="00675664" w:rsidRPr="00675664">
        <w:rPr>
          <w:noProof/>
        </w:rPr>
        <w:tab/>
      </w:r>
      <w:r w:rsidR="00675664">
        <w:rPr>
          <w:noProof/>
        </w:rPr>
        <w:t>e</w:t>
      </w:r>
      <w:r w:rsidR="00E205A8" w:rsidRPr="00814C1E">
        <w:rPr>
          <w:noProof/>
        </w:rPr>
        <w:t>ncourage the p</w:t>
      </w:r>
      <w:r w:rsidR="6CC30EA2" w:rsidRPr="00814C1E">
        <w:rPr>
          <w:noProof/>
        </w:rPr>
        <w:t xml:space="preserve">ossibility for academic </w:t>
      </w:r>
      <w:r w:rsidR="381AB337" w:rsidRPr="00814C1E">
        <w:rPr>
          <w:noProof/>
        </w:rPr>
        <w:t xml:space="preserve">and </w:t>
      </w:r>
      <w:r w:rsidR="00165479" w:rsidRPr="00814C1E">
        <w:rPr>
          <w:noProof/>
        </w:rPr>
        <w:t>professional services staff</w:t>
      </w:r>
      <w:r w:rsidR="009E47C0" w:rsidRPr="00814C1E">
        <w:rPr>
          <w:noProof/>
        </w:rPr>
        <w:t xml:space="preserve"> to practice lifelong learning, </w:t>
      </w:r>
      <w:r w:rsidR="00835C1D" w:rsidRPr="00814C1E">
        <w:rPr>
          <w:noProof/>
        </w:rPr>
        <w:t>including</w:t>
      </w:r>
      <w:r w:rsidR="00165479" w:rsidRPr="00814C1E">
        <w:rPr>
          <w:noProof/>
        </w:rPr>
        <w:t xml:space="preserve"> </w:t>
      </w:r>
      <w:r w:rsidR="009E47C0" w:rsidRPr="00814C1E">
        <w:rPr>
          <w:noProof/>
        </w:rPr>
        <w:t xml:space="preserve">by going </w:t>
      </w:r>
      <w:r w:rsidR="6CC30EA2" w:rsidRPr="00814C1E">
        <w:rPr>
          <w:noProof/>
        </w:rPr>
        <w:t xml:space="preserve">on sabbatical leave for the purposes of improving skills necessary for transnational </w:t>
      </w:r>
      <w:r w:rsidR="004460E0" w:rsidRPr="00814C1E">
        <w:rPr>
          <w:noProof/>
        </w:rPr>
        <w:t xml:space="preserve">educational </w:t>
      </w:r>
      <w:r w:rsidR="00611B18" w:rsidRPr="00814C1E">
        <w:rPr>
          <w:noProof/>
        </w:rPr>
        <w:t>activities</w:t>
      </w:r>
      <w:r w:rsidR="106F99A4" w:rsidRPr="00814C1E">
        <w:rPr>
          <w:noProof/>
        </w:rPr>
        <w:t>.</w:t>
      </w:r>
    </w:p>
    <w:p w14:paraId="3E17BC70" w14:textId="77777777" w:rsidR="009C26A0" w:rsidRPr="003F0E7D" w:rsidRDefault="006C5FDA" w:rsidP="003F0E7D">
      <w:pPr>
        <w:pStyle w:val="Point1"/>
        <w:jc w:val="center"/>
        <w:rPr>
          <w:b/>
          <w:bCs/>
          <w:noProof/>
        </w:rPr>
      </w:pPr>
      <w:r>
        <w:rPr>
          <w:b/>
          <w:bCs/>
          <w:noProof/>
        </w:rPr>
        <w:t>H</w:t>
      </w:r>
      <w:r w:rsidR="009C26A0" w:rsidRPr="003F0E7D">
        <w:rPr>
          <w:b/>
          <w:bCs/>
          <w:noProof/>
        </w:rPr>
        <w:t>igher education institutions</w:t>
      </w:r>
    </w:p>
    <w:p w14:paraId="2FA4F2A6" w14:textId="77777777" w:rsidR="006E6721" w:rsidRPr="00814C1E" w:rsidRDefault="008B095F" w:rsidP="00732E7E">
      <w:pPr>
        <w:pStyle w:val="Point0"/>
        <w:ind w:left="851" w:hanging="851"/>
        <w:rPr>
          <w:noProof/>
        </w:rPr>
      </w:pPr>
      <w:r>
        <w:rPr>
          <w:noProof/>
        </w:rPr>
        <w:t>2.</w:t>
      </w:r>
      <w:r w:rsidR="00C17703" w:rsidRPr="00814C1E">
        <w:rPr>
          <w:noProof/>
        </w:rPr>
        <w:tab/>
      </w:r>
      <w:r w:rsidR="00693114">
        <w:rPr>
          <w:noProof/>
        </w:rPr>
        <w:t xml:space="preserve">It is recommended that Member States promote, </w:t>
      </w:r>
      <w:r w:rsidR="00826CDD">
        <w:rPr>
          <w:noProof/>
        </w:rPr>
        <w:t xml:space="preserve">acknowledge </w:t>
      </w:r>
      <w:r w:rsidR="00693114">
        <w:rPr>
          <w:noProof/>
        </w:rPr>
        <w:t>and val</w:t>
      </w:r>
      <w:r w:rsidR="00073F6C">
        <w:rPr>
          <w:noProof/>
        </w:rPr>
        <w:t>ue</w:t>
      </w:r>
      <w:r w:rsidR="00693114">
        <w:rPr>
          <w:noProof/>
        </w:rPr>
        <w:t xml:space="preserve"> diverse academic roles, including innovative and effective teaching, and in </w:t>
      </w:r>
      <w:r w:rsidR="00CE73AF">
        <w:rPr>
          <w:noProof/>
        </w:rPr>
        <w:t>particular</w:t>
      </w:r>
      <w:r w:rsidR="00870A37">
        <w:rPr>
          <w:noProof/>
        </w:rPr>
        <w:t>:</w:t>
      </w:r>
    </w:p>
    <w:p w14:paraId="65FD9B9A" w14:textId="77777777" w:rsidR="00CE73AF" w:rsidRDefault="008B095F">
      <w:pPr>
        <w:pStyle w:val="Point1"/>
        <w:spacing w:before="0"/>
        <w:ind w:left="1418"/>
        <w:rPr>
          <w:noProof/>
        </w:rPr>
      </w:pPr>
      <w:r>
        <w:rPr>
          <w:noProof/>
        </w:rPr>
        <w:t>(a)</w:t>
      </w:r>
      <w:r w:rsidR="00C17703" w:rsidRPr="00814C1E">
        <w:rPr>
          <w:noProof/>
        </w:rPr>
        <w:tab/>
      </w:r>
      <w:r w:rsidR="00B42A98">
        <w:rPr>
          <w:noProof/>
        </w:rPr>
        <w:t>e</w:t>
      </w:r>
      <w:r w:rsidR="00CE73AF" w:rsidRPr="00814C1E">
        <w:rPr>
          <w:noProof/>
        </w:rPr>
        <w:t xml:space="preserve">ngage, in dialogue with the higher education sector, </w:t>
      </w:r>
      <w:r w:rsidR="00FA5016">
        <w:rPr>
          <w:noProof/>
        </w:rPr>
        <w:t xml:space="preserve">with an aim </w:t>
      </w:r>
      <w:r w:rsidR="00CE73AF" w:rsidRPr="00814C1E">
        <w:rPr>
          <w:noProof/>
        </w:rPr>
        <w:t>to:</w:t>
      </w:r>
    </w:p>
    <w:p w14:paraId="4D473FDB" w14:textId="4B5AEB95" w:rsidR="001103F4" w:rsidRPr="00814C1E" w:rsidRDefault="00826CDD" w:rsidP="00304FF4">
      <w:pPr>
        <w:pStyle w:val="Point2"/>
        <w:spacing w:before="0" w:after="0"/>
        <w:ind w:left="1985"/>
        <w:rPr>
          <w:noProof/>
        </w:rPr>
      </w:pPr>
      <w:r>
        <w:rPr>
          <w:noProof/>
        </w:rPr>
        <w:t>(i)</w:t>
      </w:r>
      <w:r w:rsidR="00CF0C2D" w:rsidRPr="00CF0C2D">
        <w:rPr>
          <w:noProof/>
        </w:rPr>
        <w:tab/>
      </w:r>
      <w:r w:rsidR="00CE73AF">
        <w:rPr>
          <w:noProof/>
        </w:rPr>
        <w:t>e</w:t>
      </w:r>
      <w:r w:rsidR="006E6721" w:rsidRPr="00814C1E">
        <w:rPr>
          <w:noProof/>
        </w:rPr>
        <w:t xml:space="preserve">nsure </w:t>
      </w:r>
      <w:r w:rsidR="00AD0F8C" w:rsidRPr="00814C1E">
        <w:rPr>
          <w:noProof/>
        </w:rPr>
        <w:t xml:space="preserve">that </w:t>
      </w:r>
      <w:r w:rsidR="00967B50">
        <w:rPr>
          <w:noProof/>
        </w:rPr>
        <w:t xml:space="preserve">human resources policies in the higher education sector </w:t>
      </w:r>
      <w:r w:rsidR="006E6721" w:rsidRPr="00814C1E">
        <w:rPr>
          <w:noProof/>
        </w:rPr>
        <w:t>recognise</w:t>
      </w:r>
      <w:r w:rsidR="004E2503">
        <w:rPr>
          <w:noProof/>
        </w:rPr>
        <w:t xml:space="preserve"> and</w:t>
      </w:r>
      <w:r w:rsidR="006E6721" w:rsidRPr="00814C1E">
        <w:rPr>
          <w:noProof/>
        </w:rPr>
        <w:t xml:space="preserve"> reward</w:t>
      </w:r>
      <w:r w:rsidR="00967B50">
        <w:rPr>
          <w:noProof/>
        </w:rPr>
        <w:t xml:space="preserve"> </w:t>
      </w:r>
      <w:r w:rsidR="00A66B39">
        <w:rPr>
          <w:noProof/>
        </w:rPr>
        <w:t xml:space="preserve">similarly </w:t>
      </w:r>
      <w:r w:rsidR="00967B50">
        <w:rPr>
          <w:noProof/>
        </w:rPr>
        <w:t>diverse</w:t>
      </w:r>
      <w:r w:rsidR="001103F4" w:rsidRPr="00814C1E">
        <w:rPr>
          <w:noProof/>
        </w:rPr>
        <w:t xml:space="preserve"> roles of academic staff, such as </w:t>
      </w:r>
      <w:bookmarkStart w:id="20" w:name="_Hlk159319186"/>
      <w:r w:rsidR="00D20FB4" w:rsidRPr="00814C1E">
        <w:rPr>
          <w:noProof/>
          <w:lang w:val="en-IE"/>
        </w:rPr>
        <w:t>teaching, research,</w:t>
      </w:r>
      <w:r w:rsidR="00FB4C11" w:rsidRPr="00814C1E">
        <w:rPr>
          <w:noProof/>
          <w:lang w:val="en-IE"/>
        </w:rPr>
        <w:t xml:space="preserve"> entrepreneurship and</w:t>
      </w:r>
      <w:r w:rsidR="00D20FB4" w:rsidRPr="00814C1E">
        <w:rPr>
          <w:noProof/>
          <w:lang w:val="en-IE"/>
        </w:rPr>
        <w:t xml:space="preserve"> innovation,</w:t>
      </w:r>
      <w:r w:rsidR="00E64895">
        <w:rPr>
          <w:noProof/>
          <w:lang w:val="en-IE"/>
        </w:rPr>
        <w:t xml:space="preserve"> </w:t>
      </w:r>
      <w:r w:rsidR="00E64895">
        <w:rPr>
          <w:noProof/>
        </w:rPr>
        <w:t xml:space="preserve">knowledge valorisation, </w:t>
      </w:r>
      <w:r w:rsidR="00D20FB4" w:rsidRPr="00814C1E">
        <w:rPr>
          <w:noProof/>
          <w:lang w:val="en-IE"/>
        </w:rPr>
        <w:t xml:space="preserve">transnational cooperation, business and </w:t>
      </w:r>
      <w:r w:rsidR="00FB4C11" w:rsidRPr="00814C1E">
        <w:rPr>
          <w:noProof/>
          <w:lang w:val="en-IE"/>
        </w:rPr>
        <w:t>community</w:t>
      </w:r>
      <w:r w:rsidR="00D20FB4" w:rsidRPr="00814C1E">
        <w:rPr>
          <w:noProof/>
          <w:lang w:val="en-IE"/>
        </w:rPr>
        <w:t xml:space="preserve"> engagement</w:t>
      </w:r>
      <w:r w:rsidR="001103F4" w:rsidRPr="00814C1E">
        <w:rPr>
          <w:noProof/>
        </w:rPr>
        <w:t>,</w:t>
      </w:r>
      <w:r w:rsidR="00967B50">
        <w:rPr>
          <w:noProof/>
        </w:rPr>
        <w:t xml:space="preserve"> </w:t>
      </w:r>
      <w:r w:rsidR="00D20FB4" w:rsidRPr="00814C1E">
        <w:rPr>
          <w:noProof/>
          <w:lang w:val="en-IE"/>
        </w:rPr>
        <w:t xml:space="preserve">regional </w:t>
      </w:r>
      <w:r w:rsidR="00154320">
        <w:rPr>
          <w:noProof/>
          <w:lang w:val="en-IE"/>
        </w:rPr>
        <w:t xml:space="preserve">and local </w:t>
      </w:r>
      <w:r w:rsidR="00D20FB4" w:rsidRPr="00814C1E">
        <w:rPr>
          <w:noProof/>
          <w:lang w:val="en-IE"/>
        </w:rPr>
        <w:t xml:space="preserve">development, </w:t>
      </w:r>
      <w:r w:rsidR="008D4F3E">
        <w:rPr>
          <w:noProof/>
          <w:lang w:val="en-IE"/>
        </w:rPr>
        <w:t xml:space="preserve">mentoring, </w:t>
      </w:r>
      <w:r w:rsidR="00D20FB4" w:rsidRPr="00814C1E">
        <w:rPr>
          <w:noProof/>
          <w:lang w:val="en-IE"/>
        </w:rPr>
        <w:t>administration and management, participation in institutional governance</w:t>
      </w:r>
      <w:bookmarkEnd w:id="20"/>
      <w:r w:rsidR="00967B50">
        <w:rPr>
          <w:noProof/>
        </w:rPr>
        <w:t>;</w:t>
      </w:r>
    </w:p>
    <w:p w14:paraId="41699764" w14:textId="77777777" w:rsidR="00A03742" w:rsidRPr="00D11545" w:rsidRDefault="00A772C7" w:rsidP="00A772C7">
      <w:pPr>
        <w:pStyle w:val="Point2"/>
        <w:rPr>
          <w:noProof/>
        </w:rPr>
      </w:pPr>
      <w:r w:rsidRPr="007836BD">
        <w:rPr>
          <w:noProof/>
        </w:rPr>
        <w:t>(ii)</w:t>
      </w:r>
      <w:r w:rsidRPr="007836BD">
        <w:rPr>
          <w:noProof/>
        </w:rPr>
        <w:tab/>
      </w:r>
      <w:r w:rsidR="00CE73AF" w:rsidRPr="007836BD">
        <w:rPr>
          <w:noProof/>
        </w:rPr>
        <w:t>p</w:t>
      </w:r>
      <w:r w:rsidR="0AA1581D" w:rsidRPr="007836BD">
        <w:rPr>
          <w:noProof/>
        </w:rPr>
        <w:t>romot</w:t>
      </w:r>
      <w:r w:rsidR="006E6721" w:rsidRPr="007836BD">
        <w:rPr>
          <w:noProof/>
        </w:rPr>
        <w:t>e</w:t>
      </w:r>
      <w:r w:rsidR="0AA1581D" w:rsidRPr="007836BD">
        <w:rPr>
          <w:noProof/>
        </w:rPr>
        <w:t xml:space="preserve"> approaches, new and existing, that</w:t>
      </w:r>
      <w:r w:rsidR="00967B50" w:rsidRPr="007836BD">
        <w:rPr>
          <w:noProof/>
        </w:rPr>
        <w:t xml:space="preserve"> value, acknowledge</w:t>
      </w:r>
      <w:r w:rsidR="0AA1581D" w:rsidRPr="007836BD">
        <w:rPr>
          <w:noProof/>
        </w:rPr>
        <w:t xml:space="preserve"> </w:t>
      </w:r>
      <w:r w:rsidR="000F766C" w:rsidRPr="007836BD">
        <w:rPr>
          <w:noProof/>
        </w:rPr>
        <w:t>and</w:t>
      </w:r>
      <w:r w:rsidR="000F766C" w:rsidRPr="00CF0C2D">
        <w:rPr>
          <w:noProof/>
        </w:rPr>
        <w:t xml:space="preserve"> reward</w:t>
      </w:r>
      <w:r w:rsidR="0AA1581D" w:rsidRPr="00CF0C2D">
        <w:rPr>
          <w:noProof/>
        </w:rPr>
        <w:t xml:space="preserve"> diverse academic career paths</w:t>
      </w:r>
      <w:r w:rsidR="00251812" w:rsidRPr="00D11545">
        <w:rPr>
          <w:noProof/>
        </w:rPr>
        <w:t xml:space="preserve"> for permeability of careers </w:t>
      </w:r>
      <w:r w:rsidR="00CE73AF" w:rsidRPr="008B095F">
        <w:rPr>
          <w:noProof/>
        </w:rPr>
        <w:t xml:space="preserve">across </w:t>
      </w:r>
      <w:r w:rsidR="0AA1581D" w:rsidRPr="008B095F">
        <w:rPr>
          <w:noProof/>
        </w:rPr>
        <w:t>the different roles of academic</w:t>
      </w:r>
      <w:r w:rsidR="70617CC3" w:rsidRPr="008B095F">
        <w:rPr>
          <w:noProof/>
        </w:rPr>
        <w:t xml:space="preserve"> staff</w:t>
      </w:r>
      <w:r w:rsidR="00251812" w:rsidRPr="008B095F">
        <w:rPr>
          <w:noProof/>
        </w:rPr>
        <w:t xml:space="preserve"> as referred to in point </w:t>
      </w:r>
      <w:r w:rsidR="00E62E6B">
        <w:rPr>
          <w:noProof/>
        </w:rPr>
        <w:t>2</w:t>
      </w:r>
      <w:r w:rsidR="00251812" w:rsidRPr="008B095F">
        <w:rPr>
          <w:noProof/>
        </w:rPr>
        <w:t>(a)(i)</w:t>
      </w:r>
      <w:r w:rsidR="009E5BC2" w:rsidRPr="008B095F">
        <w:rPr>
          <w:noProof/>
        </w:rPr>
        <w:t>;</w:t>
      </w:r>
      <w:r w:rsidR="00CE73AF" w:rsidRPr="008B095F">
        <w:rPr>
          <w:noProof/>
        </w:rPr>
        <w:t xml:space="preserve"> </w:t>
      </w:r>
      <w:r w:rsidR="00251812" w:rsidRPr="008B095F">
        <w:rPr>
          <w:noProof/>
        </w:rPr>
        <w:t xml:space="preserve">across various </w:t>
      </w:r>
      <w:r w:rsidR="0AA1581D" w:rsidRPr="008B095F">
        <w:rPr>
          <w:noProof/>
        </w:rPr>
        <w:t>public and private sectors</w:t>
      </w:r>
      <w:r w:rsidR="00251812" w:rsidRPr="008B095F">
        <w:rPr>
          <w:noProof/>
        </w:rPr>
        <w:t>;</w:t>
      </w:r>
      <w:r w:rsidR="00860FEC">
        <w:rPr>
          <w:noProof/>
        </w:rPr>
        <w:t xml:space="preserve"> and across countries,</w:t>
      </w:r>
      <w:r w:rsidR="00251812" w:rsidRPr="008B095F">
        <w:rPr>
          <w:noProof/>
        </w:rPr>
        <w:t xml:space="preserve"> </w:t>
      </w:r>
      <w:r w:rsidR="002F4C67" w:rsidRPr="008B095F">
        <w:rPr>
          <w:noProof/>
        </w:rPr>
        <w:t>taking into account career breaks</w:t>
      </w:r>
      <w:r w:rsidR="006468FB" w:rsidRPr="008B095F">
        <w:rPr>
          <w:rStyle w:val="Allmrkuseviide"/>
          <w:noProof/>
        </w:rPr>
        <w:footnoteReference w:id="61"/>
      </w:r>
      <w:r w:rsidR="004C5728" w:rsidRPr="00D11545">
        <w:rPr>
          <w:noProof/>
        </w:rPr>
        <w:t xml:space="preserve"> </w:t>
      </w:r>
      <w:r w:rsidR="00EB34AB" w:rsidRPr="00D11545">
        <w:rPr>
          <w:noProof/>
        </w:rPr>
        <w:t>i</w:t>
      </w:r>
      <w:r w:rsidR="004C5728" w:rsidRPr="00D11545">
        <w:rPr>
          <w:noProof/>
        </w:rPr>
        <w:t>n a transparent manner</w:t>
      </w:r>
      <w:r w:rsidR="00B42A98" w:rsidRPr="00D11545">
        <w:rPr>
          <w:noProof/>
        </w:rPr>
        <w:t>;</w:t>
      </w:r>
    </w:p>
    <w:p w14:paraId="0AE1A136" w14:textId="77777777" w:rsidR="00D41019" w:rsidRPr="00814C1E" w:rsidRDefault="008B095F" w:rsidP="00304FF4">
      <w:pPr>
        <w:pStyle w:val="Point2"/>
        <w:spacing w:before="0" w:after="0"/>
        <w:ind w:left="1985"/>
        <w:rPr>
          <w:noProof/>
        </w:rPr>
      </w:pPr>
      <w:r w:rsidRPr="00826CDD">
        <w:rPr>
          <w:noProof/>
        </w:rPr>
        <w:t>(iii)</w:t>
      </w:r>
      <w:r w:rsidR="00CF0C2D" w:rsidRPr="00D11545">
        <w:rPr>
          <w:noProof/>
        </w:rPr>
        <w:tab/>
        <w:t>d</w:t>
      </w:r>
      <w:r w:rsidR="00F83611" w:rsidRPr="00D11545">
        <w:rPr>
          <w:noProof/>
        </w:rPr>
        <w:t>evelop</w:t>
      </w:r>
      <w:r w:rsidR="00720454" w:rsidRPr="00D11545">
        <w:rPr>
          <w:noProof/>
        </w:rPr>
        <w:t xml:space="preserve"> practices </w:t>
      </w:r>
      <w:r w:rsidR="0069237F">
        <w:rPr>
          <w:noProof/>
        </w:rPr>
        <w:t>in the higher education sector</w:t>
      </w:r>
      <w:r w:rsidR="00F83611" w:rsidRPr="00814C1E">
        <w:rPr>
          <w:noProof/>
        </w:rPr>
        <w:t>, to val</w:t>
      </w:r>
      <w:r w:rsidR="00911A67">
        <w:rPr>
          <w:noProof/>
        </w:rPr>
        <w:t>ue</w:t>
      </w:r>
      <w:r w:rsidR="00F83611" w:rsidRPr="00814C1E">
        <w:rPr>
          <w:noProof/>
        </w:rPr>
        <w:t xml:space="preserve"> teaching </w:t>
      </w:r>
      <w:r w:rsidR="003B7132" w:rsidRPr="00814C1E">
        <w:rPr>
          <w:noProof/>
        </w:rPr>
        <w:t>enhancement</w:t>
      </w:r>
      <w:r w:rsidR="002D2038">
        <w:rPr>
          <w:noProof/>
        </w:rPr>
        <w:t xml:space="preserve"> and staff development,</w:t>
      </w:r>
      <w:r w:rsidR="003B7132" w:rsidRPr="00814C1E">
        <w:rPr>
          <w:noProof/>
        </w:rPr>
        <w:t xml:space="preserve"> and</w:t>
      </w:r>
      <w:r w:rsidR="00F83611" w:rsidRPr="00814C1E">
        <w:rPr>
          <w:noProof/>
        </w:rPr>
        <w:t xml:space="preserve"> </w:t>
      </w:r>
      <w:r w:rsidR="00720454">
        <w:rPr>
          <w:noProof/>
        </w:rPr>
        <w:t>promote</w:t>
      </w:r>
      <w:r w:rsidR="00F83611" w:rsidRPr="00814C1E">
        <w:rPr>
          <w:noProof/>
        </w:rPr>
        <w:t xml:space="preserve"> parity of esteem for teaching</w:t>
      </w:r>
      <w:r w:rsidR="00F75316" w:rsidRPr="00814C1E">
        <w:rPr>
          <w:noProof/>
        </w:rPr>
        <w:t xml:space="preserve"> </w:t>
      </w:r>
      <w:r w:rsidR="00F83611" w:rsidRPr="00814C1E">
        <w:rPr>
          <w:noProof/>
        </w:rPr>
        <w:t>as compared to research</w:t>
      </w:r>
      <w:r w:rsidR="00A77D1A" w:rsidRPr="00814C1E">
        <w:rPr>
          <w:noProof/>
        </w:rPr>
        <w:t>, in staff</w:t>
      </w:r>
      <w:r w:rsidR="0079049E">
        <w:rPr>
          <w:noProof/>
        </w:rPr>
        <w:t xml:space="preserve"> appraisal and promotion</w:t>
      </w:r>
      <w:r w:rsidR="00967B50">
        <w:rPr>
          <w:noProof/>
        </w:rPr>
        <w:t>;</w:t>
      </w:r>
    </w:p>
    <w:p w14:paraId="0CF24BD8" w14:textId="77777777" w:rsidR="00D41019" w:rsidRPr="00814C1E" w:rsidRDefault="008B095F" w:rsidP="00304FF4">
      <w:pPr>
        <w:pStyle w:val="Point2"/>
        <w:spacing w:before="0"/>
        <w:ind w:left="1985"/>
        <w:rPr>
          <w:noProof/>
          <w:u w:val="single"/>
        </w:rPr>
      </w:pPr>
      <w:r>
        <w:rPr>
          <w:noProof/>
        </w:rPr>
        <w:t>(iv)</w:t>
      </w:r>
      <w:r w:rsidR="00CF0C2D" w:rsidRPr="00CF0C2D">
        <w:rPr>
          <w:noProof/>
        </w:rPr>
        <w:tab/>
      </w:r>
      <w:r w:rsidR="00CF0C2D">
        <w:rPr>
          <w:noProof/>
        </w:rPr>
        <w:t>e</w:t>
      </w:r>
      <w:r w:rsidR="006E6721" w:rsidRPr="00814C1E">
        <w:rPr>
          <w:noProof/>
        </w:rPr>
        <w:t>ncourage</w:t>
      </w:r>
      <w:r w:rsidR="00870D86" w:rsidRPr="00814C1E">
        <w:rPr>
          <w:noProof/>
        </w:rPr>
        <w:t xml:space="preserve"> </w:t>
      </w:r>
      <w:r w:rsidR="00D41019" w:rsidRPr="00814C1E">
        <w:rPr>
          <w:noProof/>
        </w:rPr>
        <w:t>institutional leadership</w:t>
      </w:r>
      <w:r w:rsidR="0069237F">
        <w:rPr>
          <w:noProof/>
        </w:rPr>
        <w:t xml:space="preserve"> in higher education institutions</w:t>
      </w:r>
      <w:r w:rsidR="00D41019" w:rsidRPr="00814C1E">
        <w:rPr>
          <w:noProof/>
        </w:rPr>
        <w:t xml:space="preserve"> to </w:t>
      </w:r>
      <w:r w:rsidR="0069237F">
        <w:rPr>
          <w:noProof/>
        </w:rPr>
        <w:t>increase</w:t>
      </w:r>
      <w:r w:rsidR="00D41019" w:rsidRPr="00814C1E">
        <w:rPr>
          <w:noProof/>
        </w:rPr>
        <w:t xml:space="preserve"> and maintain the focus on learning and teaching by giving as much attention to teaching as to research</w:t>
      </w:r>
      <w:r w:rsidR="00A821CF" w:rsidRPr="00814C1E">
        <w:rPr>
          <w:noProof/>
        </w:rPr>
        <w:t>,</w:t>
      </w:r>
      <w:r w:rsidR="00D41019" w:rsidRPr="00814C1E">
        <w:rPr>
          <w:noProof/>
        </w:rPr>
        <w:t xml:space="preserve"> and </w:t>
      </w:r>
      <w:r w:rsidR="0069237F">
        <w:rPr>
          <w:noProof/>
        </w:rPr>
        <w:t>to</w:t>
      </w:r>
      <w:r w:rsidR="0069237F" w:rsidRPr="00814C1E">
        <w:rPr>
          <w:noProof/>
        </w:rPr>
        <w:t xml:space="preserve"> </w:t>
      </w:r>
      <w:r w:rsidR="00D41019" w:rsidRPr="00814C1E">
        <w:rPr>
          <w:noProof/>
        </w:rPr>
        <w:t>val</w:t>
      </w:r>
      <w:r w:rsidR="00911A67">
        <w:rPr>
          <w:noProof/>
        </w:rPr>
        <w:t>ue</w:t>
      </w:r>
      <w:r w:rsidR="00D41019" w:rsidRPr="00814C1E">
        <w:rPr>
          <w:noProof/>
        </w:rPr>
        <w:t xml:space="preserve"> those who actively champion teaching and learning excellence at higher education institution</w:t>
      </w:r>
      <w:r w:rsidR="000049A3" w:rsidRPr="00814C1E">
        <w:rPr>
          <w:noProof/>
        </w:rPr>
        <w:t>s</w:t>
      </w:r>
      <w:r w:rsidR="00A772C7">
        <w:rPr>
          <w:noProof/>
        </w:rPr>
        <w:t>;</w:t>
      </w:r>
    </w:p>
    <w:p w14:paraId="46544BED" w14:textId="77777777" w:rsidR="006E6721" w:rsidRPr="00822EE5" w:rsidRDefault="008B095F" w:rsidP="00732E7E">
      <w:pPr>
        <w:pStyle w:val="Point1"/>
        <w:rPr>
          <w:noProof/>
          <w:shd w:val="clear" w:color="auto" w:fill="FFFFFF"/>
        </w:rPr>
      </w:pPr>
      <w:r>
        <w:rPr>
          <w:noProof/>
        </w:rPr>
        <w:t>(b)</w:t>
      </w:r>
      <w:r w:rsidR="00C17703" w:rsidRPr="00814C1E">
        <w:rPr>
          <w:noProof/>
        </w:rPr>
        <w:tab/>
      </w:r>
      <w:r w:rsidR="00B42A98">
        <w:rPr>
          <w:noProof/>
        </w:rPr>
        <w:t>d</w:t>
      </w:r>
      <w:r w:rsidR="006E6721" w:rsidRPr="00822EE5">
        <w:rPr>
          <w:noProof/>
        </w:rPr>
        <w:t xml:space="preserve">evelop </w:t>
      </w:r>
      <w:r w:rsidR="00720454">
        <w:rPr>
          <w:noProof/>
        </w:rPr>
        <w:t>practices</w:t>
      </w:r>
      <w:r w:rsidR="002D2038">
        <w:rPr>
          <w:noProof/>
        </w:rPr>
        <w:t xml:space="preserve"> in the higher education sector</w:t>
      </w:r>
      <w:r w:rsidR="006E6721" w:rsidRPr="00822EE5">
        <w:rPr>
          <w:noProof/>
        </w:rPr>
        <w:t>, in cooperation with the higher education sector, to</w:t>
      </w:r>
      <w:r w:rsidR="000325C1" w:rsidRPr="00822EE5">
        <w:rPr>
          <w:noProof/>
        </w:rPr>
        <w:t xml:space="preserve"> invest in continuous skills development</w:t>
      </w:r>
      <w:r w:rsidR="00B61C64" w:rsidRPr="00822EE5">
        <w:rPr>
          <w:noProof/>
        </w:rPr>
        <w:t xml:space="preserve"> by</w:t>
      </w:r>
      <w:r w:rsidR="006E6721" w:rsidRPr="00822EE5">
        <w:rPr>
          <w:noProof/>
        </w:rPr>
        <w:t>:</w:t>
      </w:r>
    </w:p>
    <w:p w14:paraId="2AF18E41" w14:textId="21137F3E" w:rsidR="00F83611" w:rsidRPr="00822EE5" w:rsidRDefault="008B095F" w:rsidP="00304FF4">
      <w:pPr>
        <w:pStyle w:val="Point2"/>
        <w:spacing w:before="0" w:after="0"/>
        <w:ind w:left="1985"/>
        <w:rPr>
          <w:rStyle w:val="normaltextrun"/>
          <w:noProof/>
          <w:shd w:val="clear" w:color="auto" w:fill="FFFFFF"/>
        </w:rPr>
      </w:pPr>
      <w:r>
        <w:rPr>
          <w:noProof/>
        </w:rPr>
        <w:t>(i)</w:t>
      </w:r>
      <w:r w:rsidR="00822EE5" w:rsidRPr="00732E7E">
        <w:rPr>
          <w:noProof/>
        </w:rPr>
        <w:tab/>
      </w:r>
      <w:r w:rsidR="00822EE5" w:rsidRPr="00822EE5">
        <w:rPr>
          <w:rStyle w:val="normaltextrun"/>
          <w:noProof/>
          <w:shd w:val="clear" w:color="auto" w:fill="FFFFFF"/>
        </w:rPr>
        <w:t>p</w:t>
      </w:r>
      <w:r w:rsidR="00870D86" w:rsidRPr="00822EE5">
        <w:rPr>
          <w:rStyle w:val="normaltextrun"/>
          <w:noProof/>
          <w:shd w:val="clear" w:color="auto" w:fill="FFFFFF"/>
        </w:rPr>
        <w:t>rovi</w:t>
      </w:r>
      <w:r w:rsidR="006E6721" w:rsidRPr="00822EE5">
        <w:rPr>
          <w:rStyle w:val="normaltextrun"/>
          <w:noProof/>
          <w:shd w:val="clear" w:color="auto" w:fill="FFFFFF"/>
        </w:rPr>
        <w:t>d</w:t>
      </w:r>
      <w:r w:rsidR="00B61C64" w:rsidRPr="00822EE5">
        <w:rPr>
          <w:rStyle w:val="normaltextrun"/>
          <w:noProof/>
          <w:shd w:val="clear" w:color="auto" w:fill="FFFFFF"/>
        </w:rPr>
        <w:t>ing</w:t>
      </w:r>
      <w:r w:rsidR="00870D86" w:rsidRPr="00822EE5">
        <w:rPr>
          <w:rStyle w:val="normaltextrun"/>
          <w:noProof/>
          <w:shd w:val="clear" w:color="auto" w:fill="FFFFFF"/>
        </w:rPr>
        <w:t xml:space="preserve"> a</w:t>
      </w:r>
      <w:r w:rsidR="49D60BE6" w:rsidRPr="00822EE5">
        <w:rPr>
          <w:rStyle w:val="normaltextrun"/>
          <w:noProof/>
          <w:shd w:val="clear" w:color="auto" w:fill="FFFFFF"/>
        </w:rPr>
        <w:t xml:space="preserve">ppropriate training </w:t>
      </w:r>
      <w:r w:rsidR="00F00BB0" w:rsidRPr="00822EE5">
        <w:rPr>
          <w:rStyle w:val="normaltextrun"/>
          <w:noProof/>
          <w:shd w:val="clear" w:color="auto" w:fill="FFFFFF"/>
        </w:rPr>
        <w:t>and</w:t>
      </w:r>
      <w:r w:rsidR="49D60BE6" w:rsidRPr="00822EE5">
        <w:rPr>
          <w:rStyle w:val="normaltextrun"/>
          <w:noProof/>
          <w:shd w:val="clear" w:color="auto" w:fill="FFFFFF"/>
        </w:rPr>
        <w:t xml:space="preserve"> support</w:t>
      </w:r>
      <w:r w:rsidR="00870D86" w:rsidRPr="00822EE5">
        <w:rPr>
          <w:rStyle w:val="normaltextrun"/>
          <w:noProof/>
          <w:shd w:val="clear" w:color="auto" w:fill="FFFFFF"/>
        </w:rPr>
        <w:t xml:space="preserve"> </w:t>
      </w:r>
      <w:r w:rsidR="000B2B9D" w:rsidRPr="00822EE5">
        <w:rPr>
          <w:rStyle w:val="normaltextrun"/>
          <w:noProof/>
          <w:shd w:val="clear" w:color="auto" w:fill="FFFFFF"/>
        </w:rPr>
        <w:t xml:space="preserve">to </w:t>
      </w:r>
      <w:r w:rsidR="00870D86" w:rsidRPr="00822EE5">
        <w:rPr>
          <w:rStyle w:val="normaltextrun"/>
          <w:noProof/>
          <w:shd w:val="clear" w:color="auto" w:fill="FFFFFF"/>
        </w:rPr>
        <w:t>academic staff conducting teaching activities</w:t>
      </w:r>
      <w:r w:rsidR="49D60BE6" w:rsidRPr="00822EE5">
        <w:rPr>
          <w:rStyle w:val="normaltextrun"/>
          <w:noProof/>
          <w:shd w:val="clear" w:color="auto" w:fill="FFFFFF"/>
        </w:rPr>
        <w:t xml:space="preserve">, including early career staff and </w:t>
      </w:r>
      <w:r>
        <w:rPr>
          <w:rStyle w:val="normaltextrun"/>
          <w:noProof/>
          <w:shd w:val="clear" w:color="auto" w:fill="FFFFFF"/>
        </w:rPr>
        <w:t>part</w:t>
      </w:r>
      <w:r w:rsidR="49D60BE6" w:rsidRPr="00822EE5">
        <w:rPr>
          <w:rStyle w:val="normaltextrun"/>
          <w:noProof/>
          <w:shd w:val="clear" w:color="auto" w:fill="FFFFFF"/>
        </w:rPr>
        <w:t>-time teachers</w:t>
      </w:r>
      <w:r w:rsidR="00346F3B">
        <w:rPr>
          <w:rStyle w:val="normaltextrun"/>
          <w:noProof/>
          <w:shd w:val="clear" w:color="auto" w:fill="FFFFFF"/>
        </w:rPr>
        <w:t>;</w:t>
      </w:r>
      <w:r w:rsidR="49D60BE6" w:rsidRPr="00822EE5">
        <w:rPr>
          <w:rStyle w:val="normaltextrun"/>
          <w:noProof/>
          <w:shd w:val="clear" w:color="auto" w:fill="FFFFFF"/>
        </w:rPr>
        <w:t xml:space="preserve"> </w:t>
      </w:r>
    </w:p>
    <w:p w14:paraId="0FEB0E36" w14:textId="77777777" w:rsidR="003F6791" w:rsidRPr="00822EE5" w:rsidRDefault="008B095F" w:rsidP="00304FF4">
      <w:pPr>
        <w:pStyle w:val="Point2"/>
        <w:spacing w:before="0" w:after="0"/>
        <w:ind w:left="1985"/>
        <w:rPr>
          <w:noProof/>
        </w:rPr>
      </w:pPr>
      <w:r>
        <w:rPr>
          <w:noProof/>
        </w:rPr>
        <w:t>(ii)</w:t>
      </w:r>
      <w:r w:rsidR="00822EE5" w:rsidRPr="00822EE5">
        <w:rPr>
          <w:noProof/>
        </w:rPr>
        <w:tab/>
        <w:t>s</w:t>
      </w:r>
      <w:r w:rsidR="003F6791" w:rsidRPr="00822EE5">
        <w:rPr>
          <w:noProof/>
        </w:rPr>
        <w:t>upport</w:t>
      </w:r>
      <w:r w:rsidR="00B61C64" w:rsidRPr="00822EE5">
        <w:rPr>
          <w:noProof/>
        </w:rPr>
        <w:t>ing</w:t>
      </w:r>
      <w:r w:rsidR="003F6791" w:rsidRPr="00822EE5">
        <w:rPr>
          <w:noProof/>
        </w:rPr>
        <w:t xml:space="preserve"> teaching enhancement, </w:t>
      </w:r>
      <w:r w:rsidR="00B61C64" w:rsidRPr="00822EE5">
        <w:rPr>
          <w:noProof/>
        </w:rPr>
        <w:t xml:space="preserve">by </w:t>
      </w:r>
      <w:r w:rsidR="00CE1B29" w:rsidRPr="00822EE5">
        <w:rPr>
          <w:noProof/>
        </w:rPr>
        <w:t>endorsing</w:t>
      </w:r>
      <w:r w:rsidR="003F6791" w:rsidRPr="00822EE5">
        <w:rPr>
          <w:noProof/>
        </w:rPr>
        <w:t xml:space="preserve"> research on teaching and experimentation with new pedagogical methods</w:t>
      </w:r>
      <w:r w:rsidR="003B76BB" w:rsidRPr="00822EE5">
        <w:rPr>
          <w:noProof/>
        </w:rPr>
        <w:t xml:space="preserve">, </w:t>
      </w:r>
      <w:r w:rsidR="00131D6A" w:rsidRPr="00822EE5">
        <w:rPr>
          <w:noProof/>
        </w:rPr>
        <w:t>and</w:t>
      </w:r>
      <w:bookmarkStart w:id="21" w:name="_Hlk150696107"/>
      <w:r w:rsidR="00131D6A" w:rsidRPr="00822EE5">
        <w:rPr>
          <w:noProof/>
        </w:rPr>
        <w:t xml:space="preserve"> c</w:t>
      </w:r>
      <w:r w:rsidR="003F6791" w:rsidRPr="00822EE5">
        <w:rPr>
          <w:noProof/>
        </w:rPr>
        <w:t>reat</w:t>
      </w:r>
      <w:r w:rsidR="00B9714E" w:rsidRPr="00822EE5">
        <w:rPr>
          <w:noProof/>
        </w:rPr>
        <w:t>ing</w:t>
      </w:r>
      <w:r w:rsidR="003F6791" w:rsidRPr="00822EE5">
        <w:rPr>
          <w:noProof/>
        </w:rPr>
        <w:t xml:space="preserve"> innovative teaching and learning centres across </w:t>
      </w:r>
      <w:r w:rsidR="00A57673" w:rsidRPr="00822EE5">
        <w:rPr>
          <w:noProof/>
        </w:rPr>
        <w:t>higher education</w:t>
      </w:r>
      <w:r w:rsidR="003F6791" w:rsidRPr="00822EE5">
        <w:rPr>
          <w:noProof/>
        </w:rPr>
        <w:t xml:space="preserve"> institutions</w:t>
      </w:r>
      <w:bookmarkEnd w:id="21"/>
      <w:r w:rsidR="003F6791" w:rsidRPr="00822EE5">
        <w:rPr>
          <w:noProof/>
        </w:rPr>
        <w:t xml:space="preserve"> </w:t>
      </w:r>
      <w:r w:rsidR="00BD45F8" w:rsidRPr="00822EE5">
        <w:rPr>
          <w:noProof/>
        </w:rPr>
        <w:t>to a</w:t>
      </w:r>
      <w:r w:rsidR="00503487" w:rsidRPr="00822EE5">
        <w:rPr>
          <w:noProof/>
        </w:rPr>
        <w:t>ssist</w:t>
      </w:r>
      <w:r w:rsidR="00BD45F8" w:rsidRPr="00822EE5">
        <w:rPr>
          <w:noProof/>
        </w:rPr>
        <w:t xml:space="preserve"> academic</w:t>
      </w:r>
      <w:r w:rsidR="005A68EA" w:rsidRPr="00822EE5">
        <w:rPr>
          <w:noProof/>
        </w:rPr>
        <w:t xml:space="preserve"> staff</w:t>
      </w:r>
      <w:r w:rsidR="0002670D" w:rsidRPr="00822EE5">
        <w:rPr>
          <w:noProof/>
        </w:rPr>
        <w:t xml:space="preserve"> </w:t>
      </w:r>
      <w:r w:rsidR="00503487" w:rsidRPr="00822EE5">
        <w:rPr>
          <w:noProof/>
        </w:rPr>
        <w:t>with their teaching mission</w:t>
      </w:r>
      <w:r w:rsidR="00346F3B">
        <w:rPr>
          <w:noProof/>
        </w:rPr>
        <w:t>;</w:t>
      </w:r>
    </w:p>
    <w:p w14:paraId="478CE2BE" w14:textId="4059C841" w:rsidR="001C110E" w:rsidRPr="00822EE5" w:rsidRDefault="008B095F" w:rsidP="00304FF4">
      <w:pPr>
        <w:pStyle w:val="Point2"/>
        <w:spacing w:before="0" w:after="0"/>
        <w:ind w:left="1985"/>
        <w:rPr>
          <w:noProof/>
        </w:rPr>
      </w:pPr>
      <w:r>
        <w:rPr>
          <w:noProof/>
        </w:rPr>
        <w:t>(iii)</w:t>
      </w:r>
      <w:r w:rsidR="00822EE5" w:rsidRPr="00822EE5">
        <w:rPr>
          <w:noProof/>
        </w:rPr>
        <w:tab/>
        <w:t>p</w:t>
      </w:r>
      <w:r w:rsidR="005F04B7" w:rsidRPr="00822EE5">
        <w:rPr>
          <w:noProof/>
        </w:rPr>
        <w:t>rovid</w:t>
      </w:r>
      <w:r w:rsidR="00B61C64" w:rsidRPr="00822EE5">
        <w:rPr>
          <w:noProof/>
        </w:rPr>
        <w:t>ing</w:t>
      </w:r>
      <w:r w:rsidR="005F04B7" w:rsidRPr="00822EE5">
        <w:rPr>
          <w:noProof/>
        </w:rPr>
        <w:t xml:space="preserve"> s</w:t>
      </w:r>
      <w:r w:rsidR="47DD478D" w:rsidRPr="00822EE5">
        <w:rPr>
          <w:noProof/>
        </w:rPr>
        <w:t>upport</w:t>
      </w:r>
      <w:r w:rsidR="00870D86" w:rsidRPr="00822EE5">
        <w:rPr>
          <w:noProof/>
        </w:rPr>
        <w:t xml:space="preserve"> for</w:t>
      </w:r>
      <w:r w:rsidR="47DD478D" w:rsidRPr="00822EE5">
        <w:rPr>
          <w:noProof/>
        </w:rPr>
        <w:t xml:space="preserve"> </w:t>
      </w:r>
      <w:r w:rsidR="17A15E19" w:rsidRPr="00822EE5">
        <w:rPr>
          <w:noProof/>
        </w:rPr>
        <w:t xml:space="preserve">continuous professional development </w:t>
      </w:r>
      <w:r w:rsidR="0DE5087A" w:rsidRPr="00822EE5">
        <w:rPr>
          <w:noProof/>
        </w:rPr>
        <w:t xml:space="preserve">to academic staff </w:t>
      </w:r>
      <w:r w:rsidR="49D60BE6" w:rsidRPr="00822EE5">
        <w:rPr>
          <w:noProof/>
        </w:rPr>
        <w:t>in</w:t>
      </w:r>
      <w:r w:rsidR="0DE5087A" w:rsidRPr="00822EE5">
        <w:rPr>
          <w:noProof/>
        </w:rPr>
        <w:t xml:space="preserve"> </w:t>
      </w:r>
      <w:r w:rsidR="17A15E19" w:rsidRPr="00822EE5">
        <w:rPr>
          <w:noProof/>
        </w:rPr>
        <w:t xml:space="preserve">innovative approaches to learning and teaching, including through micro-credentials, </w:t>
      </w:r>
      <w:r w:rsidR="49D60BE6" w:rsidRPr="00822EE5">
        <w:rPr>
          <w:noProof/>
        </w:rPr>
        <w:t>to enhance</w:t>
      </w:r>
      <w:r w:rsidR="00822EE5" w:rsidRPr="00732E7E">
        <w:rPr>
          <w:noProof/>
        </w:rPr>
        <w:t xml:space="preserve"> </w:t>
      </w:r>
      <w:r w:rsidR="00B918A1" w:rsidRPr="00732E7E">
        <w:rPr>
          <w:noProof/>
        </w:rPr>
        <w:t xml:space="preserve">digital </w:t>
      </w:r>
      <w:r w:rsidR="00822EE5" w:rsidRPr="00732E7E">
        <w:rPr>
          <w:noProof/>
        </w:rPr>
        <w:t xml:space="preserve">and innovative teaching approaches, including leveraging the safe and transparent use of artificial </w:t>
      </w:r>
      <w:r w:rsidR="00822EE5" w:rsidRPr="00732E7E">
        <w:rPr>
          <w:noProof/>
        </w:rPr>
        <w:lastRenderedPageBreak/>
        <w:t>intelligence</w:t>
      </w:r>
      <w:r w:rsidR="00C76B4B" w:rsidRPr="00F306B4">
        <w:rPr>
          <w:noProof/>
        </w:rPr>
        <w:t xml:space="preserve">, </w:t>
      </w:r>
      <w:r w:rsidR="00822EE5" w:rsidRPr="008B095F">
        <w:rPr>
          <w:noProof/>
        </w:rPr>
        <w:t>embedding learning for the green transition and sustainable development in their courses</w:t>
      </w:r>
      <w:r w:rsidR="00D11545" w:rsidRPr="008B095F">
        <w:rPr>
          <w:rStyle w:val="Allmrkuseviide"/>
          <w:noProof/>
        </w:rPr>
        <w:footnoteReference w:id="62"/>
      </w:r>
      <w:r w:rsidR="00C76B4B" w:rsidRPr="00F306B4">
        <w:rPr>
          <w:noProof/>
        </w:rPr>
        <w:t>,</w:t>
      </w:r>
      <w:r w:rsidR="00822EE5" w:rsidRPr="00F306B4">
        <w:rPr>
          <w:noProof/>
        </w:rPr>
        <w:t xml:space="preserve"> inclusive</w:t>
      </w:r>
      <w:r w:rsidR="00822EE5" w:rsidRPr="00732E7E">
        <w:rPr>
          <w:noProof/>
        </w:rPr>
        <w:t xml:space="preserve"> learning approaches addressed to diverse groups of learners</w:t>
      </w:r>
      <w:r w:rsidR="00C76B4B">
        <w:rPr>
          <w:noProof/>
        </w:rPr>
        <w:t>,</w:t>
      </w:r>
      <w:r w:rsidR="00822EE5" w:rsidRPr="00732E7E">
        <w:rPr>
          <w:noProof/>
        </w:rPr>
        <w:t xml:space="preserve"> the integration of transnational cooperation within education and training programmes: sharing knowledge through online courses with the rest of the world based on Open Education principles</w:t>
      </w:r>
      <w:r w:rsidR="00F306B4">
        <w:rPr>
          <w:rStyle w:val="Allmrkuseviide"/>
          <w:noProof/>
        </w:rPr>
        <w:footnoteReference w:id="63"/>
      </w:r>
      <w:r w:rsidR="00346F3B">
        <w:rPr>
          <w:noProof/>
        </w:rPr>
        <w:t>;</w:t>
      </w:r>
    </w:p>
    <w:p w14:paraId="02E3648D" w14:textId="77777777" w:rsidR="00EB38A4" w:rsidRPr="004463A0" w:rsidRDefault="00A772C7" w:rsidP="00A772C7">
      <w:pPr>
        <w:pStyle w:val="Point1"/>
        <w:rPr>
          <w:rStyle w:val="normaltextrun"/>
          <w:noProof/>
        </w:rPr>
      </w:pPr>
      <w:r w:rsidRPr="004463A0">
        <w:rPr>
          <w:noProof/>
        </w:rPr>
        <w:t>(c)</w:t>
      </w:r>
      <w:r w:rsidRPr="004463A0">
        <w:rPr>
          <w:noProof/>
        </w:rPr>
        <w:tab/>
      </w:r>
      <w:r w:rsidR="00B42A98" w:rsidRPr="004463A0">
        <w:rPr>
          <w:rStyle w:val="normaltextrun"/>
          <w:noProof/>
          <w:shd w:val="clear" w:color="auto" w:fill="FFFFFF"/>
        </w:rPr>
        <w:t>c</w:t>
      </w:r>
      <w:r w:rsidR="005F04B7" w:rsidRPr="004463A0">
        <w:rPr>
          <w:rStyle w:val="normaltextrun"/>
          <w:noProof/>
          <w:shd w:val="clear" w:color="auto" w:fill="FFFFFF"/>
        </w:rPr>
        <w:t>onsider i</w:t>
      </w:r>
      <w:r w:rsidR="00EB38A4" w:rsidRPr="004463A0">
        <w:rPr>
          <w:rStyle w:val="normaltextrun"/>
          <w:noProof/>
          <w:shd w:val="clear" w:color="auto" w:fill="FFFFFF"/>
        </w:rPr>
        <w:t>ntegrat</w:t>
      </w:r>
      <w:r w:rsidR="00870D86" w:rsidRPr="004463A0">
        <w:rPr>
          <w:rStyle w:val="normaltextrun"/>
          <w:noProof/>
          <w:shd w:val="clear" w:color="auto" w:fill="FFFFFF"/>
        </w:rPr>
        <w:t>ion of</w:t>
      </w:r>
      <w:r w:rsidR="00EB38A4" w:rsidRPr="004463A0">
        <w:rPr>
          <w:rStyle w:val="normaltextrun"/>
          <w:noProof/>
          <w:shd w:val="clear" w:color="auto" w:fill="FFFFFF"/>
        </w:rPr>
        <w:t xml:space="preserve"> indicators that assess the degree of innovation</w:t>
      </w:r>
      <w:r w:rsidR="00C4260D" w:rsidRPr="004463A0">
        <w:rPr>
          <w:rStyle w:val="normaltextrun"/>
          <w:noProof/>
          <w:shd w:val="clear" w:color="auto" w:fill="FFFFFF"/>
        </w:rPr>
        <w:t xml:space="preserve"> and quality</w:t>
      </w:r>
      <w:r w:rsidR="00EB38A4" w:rsidRPr="004463A0">
        <w:rPr>
          <w:rStyle w:val="normaltextrun"/>
          <w:noProof/>
          <w:shd w:val="clear" w:color="auto" w:fill="FFFFFF"/>
        </w:rPr>
        <w:t xml:space="preserve"> in teaching and learning into existing quality assurance </w:t>
      </w:r>
      <w:r w:rsidR="00CE1B29" w:rsidRPr="004463A0">
        <w:rPr>
          <w:rStyle w:val="normaltextrun"/>
          <w:noProof/>
          <w:shd w:val="clear" w:color="auto" w:fill="FFFFFF"/>
        </w:rPr>
        <w:t>processe</w:t>
      </w:r>
      <w:r w:rsidR="00EB38A4" w:rsidRPr="004463A0">
        <w:rPr>
          <w:rStyle w:val="normaltextrun"/>
          <w:noProof/>
          <w:shd w:val="clear" w:color="auto" w:fill="FFFFFF"/>
        </w:rPr>
        <w:t xml:space="preserve">s. </w:t>
      </w:r>
    </w:p>
    <w:p w14:paraId="68951A4F" w14:textId="77777777" w:rsidR="004A4A63" w:rsidRPr="00A914C3" w:rsidRDefault="00A772C7" w:rsidP="00A772C7">
      <w:pPr>
        <w:pStyle w:val="Point0"/>
        <w:rPr>
          <w:noProof/>
        </w:rPr>
      </w:pPr>
      <w:r w:rsidRPr="004463A0">
        <w:rPr>
          <w:noProof/>
        </w:rPr>
        <w:t>3.</w:t>
      </w:r>
      <w:r w:rsidRPr="004463A0">
        <w:rPr>
          <w:noProof/>
        </w:rPr>
        <w:tab/>
      </w:r>
      <w:r w:rsidR="00FD6135" w:rsidRPr="004463A0">
        <w:rPr>
          <w:noProof/>
        </w:rPr>
        <w:t xml:space="preserve">It is recommended that Member States </w:t>
      </w:r>
      <w:r w:rsidR="00DF619F" w:rsidRPr="004463A0">
        <w:rPr>
          <w:noProof/>
        </w:rPr>
        <w:t>encourage respect of collective agreements, effective</w:t>
      </w:r>
      <w:r w:rsidR="00DF619F" w:rsidRPr="005676A7">
        <w:rPr>
          <w:noProof/>
        </w:rPr>
        <w:t xml:space="preserve"> social dialogue,</w:t>
      </w:r>
      <w:r w:rsidR="00B15B3E" w:rsidRPr="005676A7">
        <w:rPr>
          <w:noProof/>
        </w:rPr>
        <w:t xml:space="preserve"> and the autonomy of social partners,</w:t>
      </w:r>
      <w:r w:rsidR="00DF619F" w:rsidRPr="005676A7">
        <w:rPr>
          <w:noProof/>
        </w:rPr>
        <w:t xml:space="preserve"> and to take support action so that employers provide attractive, inclusive and competitive working conditions, where</w:t>
      </w:r>
      <w:r w:rsidR="00DF619F" w:rsidRPr="003F0E7D">
        <w:rPr>
          <w:noProof/>
        </w:rPr>
        <w:t xml:space="preserve"> academic staff are valued, encouraged and supported. Such support action could include</w:t>
      </w:r>
      <w:r w:rsidR="00FD6135" w:rsidRPr="00A914C3">
        <w:rPr>
          <w:noProof/>
        </w:rPr>
        <w:t xml:space="preserve">: </w:t>
      </w:r>
    </w:p>
    <w:p w14:paraId="3B1F4588" w14:textId="57041179" w:rsidR="004F08F0" w:rsidRPr="008D4F3E" w:rsidRDefault="008B095F" w:rsidP="00732E7E">
      <w:pPr>
        <w:pStyle w:val="Point1"/>
        <w:rPr>
          <w:noProof/>
        </w:rPr>
      </w:pPr>
      <w:r>
        <w:rPr>
          <w:noProof/>
        </w:rPr>
        <w:t>(a)</w:t>
      </w:r>
      <w:r w:rsidR="00CA72F9" w:rsidRPr="00A914C3">
        <w:rPr>
          <w:noProof/>
        </w:rPr>
        <w:tab/>
      </w:r>
      <w:bookmarkStart w:id="22" w:name="_Hlk160871824"/>
      <w:r w:rsidR="004A4A63" w:rsidRPr="008D4F3E">
        <w:rPr>
          <w:noProof/>
        </w:rPr>
        <w:t>i</w:t>
      </w:r>
      <w:r w:rsidR="00800492" w:rsidRPr="008D4F3E">
        <w:rPr>
          <w:noProof/>
        </w:rPr>
        <w:t>mprov</w:t>
      </w:r>
      <w:r w:rsidR="009434F9" w:rsidRPr="003F0E7D">
        <w:rPr>
          <w:noProof/>
        </w:rPr>
        <w:t>ing</w:t>
      </w:r>
      <w:r w:rsidR="003D653B" w:rsidRPr="008D4F3E">
        <w:rPr>
          <w:noProof/>
        </w:rPr>
        <w:t xml:space="preserve"> recruitment practices and working</w:t>
      </w:r>
      <w:r w:rsidR="00800492" w:rsidRPr="008D4F3E">
        <w:rPr>
          <w:noProof/>
        </w:rPr>
        <w:t xml:space="preserve"> conditions of academic </w:t>
      </w:r>
      <w:r w:rsidR="00F864F0" w:rsidRPr="008D4F3E">
        <w:rPr>
          <w:noProof/>
        </w:rPr>
        <w:t xml:space="preserve">and professional services </w:t>
      </w:r>
      <w:r w:rsidR="00800492" w:rsidRPr="008D4F3E">
        <w:rPr>
          <w:noProof/>
        </w:rPr>
        <w:t>staff</w:t>
      </w:r>
      <w:r w:rsidR="003D653B" w:rsidRPr="008D4F3E">
        <w:rPr>
          <w:noProof/>
        </w:rPr>
        <w:t>, as well as related funding mechanisms,</w:t>
      </w:r>
      <w:r w:rsidR="00595712" w:rsidRPr="008D4F3E">
        <w:rPr>
          <w:noProof/>
        </w:rPr>
        <w:t xml:space="preserve"> </w:t>
      </w:r>
      <w:r w:rsidR="00800492" w:rsidRPr="008D4F3E">
        <w:rPr>
          <w:noProof/>
        </w:rPr>
        <w:t xml:space="preserve">to make </w:t>
      </w:r>
      <w:r w:rsidR="00346F3B" w:rsidRPr="008D4F3E">
        <w:rPr>
          <w:noProof/>
        </w:rPr>
        <w:t xml:space="preserve">those conditions </w:t>
      </w:r>
      <w:r w:rsidR="00800492" w:rsidRPr="008D4F3E">
        <w:rPr>
          <w:noProof/>
        </w:rPr>
        <w:t>more</w:t>
      </w:r>
      <w:r w:rsidR="0053645A" w:rsidRPr="008D4F3E">
        <w:rPr>
          <w:noProof/>
        </w:rPr>
        <w:t xml:space="preserve"> </w:t>
      </w:r>
      <w:r w:rsidR="009434F9" w:rsidRPr="003F0E7D">
        <w:rPr>
          <w:noProof/>
        </w:rPr>
        <w:t>transparent, predictable</w:t>
      </w:r>
      <w:r>
        <w:rPr>
          <w:noProof/>
        </w:rPr>
        <w:t>, accessible</w:t>
      </w:r>
      <w:r w:rsidR="009434F9" w:rsidRPr="003F0E7D">
        <w:rPr>
          <w:noProof/>
        </w:rPr>
        <w:t xml:space="preserve"> and stable</w:t>
      </w:r>
      <w:r w:rsidR="00800492" w:rsidRPr="008D4F3E">
        <w:rPr>
          <w:noProof/>
        </w:rPr>
        <w:t xml:space="preserve">, especially </w:t>
      </w:r>
      <w:r w:rsidR="009434F9" w:rsidRPr="003F0E7D">
        <w:rPr>
          <w:noProof/>
        </w:rPr>
        <w:t xml:space="preserve">for </w:t>
      </w:r>
      <w:r w:rsidR="00E572AF" w:rsidRPr="003F0E7D">
        <w:rPr>
          <w:noProof/>
        </w:rPr>
        <w:t xml:space="preserve">early-career </w:t>
      </w:r>
      <w:r w:rsidR="009434F9" w:rsidRPr="003F0E7D">
        <w:rPr>
          <w:noProof/>
        </w:rPr>
        <w:t>staff</w:t>
      </w:r>
      <w:r w:rsidR="00346F3B" w:rsidRPr="008D4F3E">
        <w:rPr>
          <w:noProof/>
        </w:rPr>
        <w:t>;</w:t>
      </w:r>
    </w:p>
    <w:p w14:paraId="39BB546A" w14:textId="77777777" w:rsidR="00A52C1D" w:rsidRPr="006709FB" w:rsidRDefault="008B095F" w:rsidP="00732E7E">
      <w:pPr>
        <w:pStyle w:val="Point1"/>
        <w:rPr>
          <w:noProof/>
        </w:rPr>
      </w:pPr>
      <w:r>
        <w:rPr>
          <w:noProof/>
        </w:rPr>
        <w:t>(b)</w:t>
      </w:r>
      <w:r w:rsidR="00CA72F9" w:rsidRPr="003F0E7D">
        <w:rPr>
          <w:noProof/>
        </w:rPr>
        <w:tab/>
      </w:r>
      <w:r w:rsidR="003D653B" w:rsidRPr="008D4F3E">
        <w:rPr>
          <w:noProof/>
        </w:rPr>
        <w:t>providing commensurate remuneration free from gender pay gaps,</w:t>
      </w:r>
      <w:r w:rsidR="003D653B" w:rsidRPr="008D4F3E" w:rsidDel="0053645A">
        <w:rPr>
          <w:noProof/>
        </w:rPr>
        <w:t xml:space="preserve"> </w:t>
      </w:r>
      <w:r w:rsidR="00A52C1D" w:rsidRPr="008D4F3E">
        <w:rPr>
          <w:noProof/>
        </w:rPr>
        <w:t xml:space="preserve">work-life balance and flexible </w:t>
      </w:r>
      <w:r w:rsidR="003D653B" w:rsidRPr="008D4F3E">
        <w:rPr>
          <w:noProof/>
        </w:rPr>
        <w:t xml:space="preserve">working </w:t>
      </w:r>
      <w:r w:rsidR="00A52C1D" w:rsidRPr="008D4F3E">
        <w:rPr>
          <w:noProof/>
        </w:rPr>
        <w:t>conditions of academic and professional services staff</w:t>
      </w:r>
      <w:r w:rsidR="003D653B" w:rsidRPr="008D4F3E">
        <w:rPr>
          <w:noProof/>
        </w:rPr>
        <w:t xml:space="preserve"> </w:t>
      </w:r>
      <w:r w:rsidR="003D653B" w:rsidRPr="008D4F3E">
        <w:rPr>
          <w:noProof/>
          <w:szCs w:val="24"/>
        </w:rPr>
        <w:t>that help bring together personal life, family, caring</w:t>
      </w:r>
      <w:r w:rsidR="00A914C3" w:rsidRPr="003F0E7D">
        <w:rPr>
          <w:noProof/>
          <w:szCs w:val="24"/>
        </w:rPr>
        <w:t xml:space="preserve"> responsibilities</w:t>
      </w:r>
      <w:r w:rsidR="003D653B" w:rsidRPr="008D4F3E">
        <w:rPr>
          <w:noProof/>
          <w:szCs w:val="24"/>
        </w:rPr>
        <w:t>, health, safety, and overall wellbeing, without prejudice to careers</w:t>
      </w:r>
      <w:r w:rsidR="00346F3B" w:rsidRPr="006709FB">
        <w:rPr>
          <w:noProof/>
        </w:rPr>
        <w:t>;</w:t>
      </w:r>
    </w:p>
    <w:p w14:paraId="62A23076" w14:textId="77777777" w:rsidR="004A4A63" w:rsidRPr="0066713A" w:rsidRDefault="008B095F" w:rsidP="003F0E7D">
      <w:pPr>
        <w:pStyle w:val="Point1"/>
        <w:rPr>
          <w:noProof/>
        </w:rPr>
      </w:pPr>
      <w:r>
        <w:rPr>
          <w:noProof/>
        </w:rPr>
        <w:t>(c)</w:t>
      </w:r>
      <w:bookmarkEnd w:id="22"/>
      <w:r w:rsidR="008D4F3E" w:rsidRPr="0066713A">
        <w:rPr>
          <w:noProof/>
        </w:rPr>
        <w:tab/>
      </w:r>
      <w:bookmarkStart w:id="23" w:name="_Hlk160872131"/>
      <w:bookmarkStart w:id="24" w:name="_Hlk160726325"/>
      <w:r w:rsidR="001515F5" w:rsidRPr="0066713A">
        <w:rPr>
          <w:noProof/>
        </w:rPr>
        <w:t xml:space="preserve">providing access to adequate social protection irrespective of the form of employment, without prejudice to the right of Member States to define the fundamental principles of their social security systems. Such measures could pertain to the following branches, insofar as they are provided in the Member States: </w:t>
      </w:r>
      <w:r w:rsidR="004A4A63" w:rsidRPr="0066713A">
        <w:rPr>
          <w:noProof/>
        </w:rPr>
        <w:t>unemployment benefits; sickness and healthcare benefits</w:t>
      </w:r>
      <w:r w:rsidR="006943A5" w:rsidRPr="0066713A">
        <w:rPr>
          <w:noProof/>
        </w:rPr>
        <w:t>;</w:t>
      </w:r>
      <w:r w:rsidR="004A4A63" w:rsidRPr="0066713A">
        <w:rPr>
          <w:noProof/>
        </w:rPr>
        <w:t xml:space="preserve"> maternity leave</w:t>
      </w:r>
      <w:r w:rsidR="006943A5" w:rsidRPr="0066713A">
        <w:rPr>
          <w:noProof/>
        </w:rPr>
        <w:t>;</w:t>
      </w:r>
      <w:r w:rsidR="004A4A63" w:rsidRPr="0066713A">
        <w:rPr>
          <w:noProof/>
        </w:rPr>
        <w:t xml:space="preserve"> paternity leave and parental leaves and related benefits</w:t>
      </w:r>
      <w:r w:rsidR="006943A5" w:rsidRPr="0066713A">
        <w:rPr>
          <w:noProof/>
        </w:rPr>
        <w:t>;</w:t>
      </w:r>
      <w:r w:rsidR="004A4A63" w:rsidRPr="0066713A">
        <w:rPr>
          <w:noProof/>
        </w:rPr>
        <w:t xml:space="preserve"> invalidity benefits</w:t>
      </w:r>
      <w:r w:rsidR="006943A5" w:rsidRPr="0066713A">
        <w:rPr>
          <w:noProof/>
        </w:rPr>
        <w:t>;</w:t>
      </w:r>
      <w:r w:rsidR="004A4A63" w:rsidRPr="0066713A">
        <w:rPr>
          <w:noProof/>
        </w:rPr>
        <w:t xml:space="preserve"> old-age benefits and survivors’ benefits</w:t>
      </w:r>
      <w:r w:rsidR="009E5BC2" w:rsidRPr="0066713A">
        <w:rPr>
          <w:noProof/>
        </w:rPr>
        <w:t>;</w:t>
      </w:r>
      <w:r w:rsidR="004A4A63" w:rsidRPr="0066713A">
        <w:rPr>
          <w:noProof/>
        </w:rPr>
        <w:t xml:space="preserve"> benefits in respect of accidents at work and occupational diseases;</w:t>
      </w:r>
    </w:p>
    <w:p w14:paraId="032A036D" w14:textId="77777777" w:rsidR="00104E6C" w:rsidRPr="00814C1E" w:rsidRDefault="008B095F" w:rsidP="003F0E7D">
      <w:pPr>
        <w:pStyle w:val="Point1"/>
        <w:rPr>
          <w:noProof/>
        </w:rPr>
      </w:pPr>
      <w:r>
        <w:rPr>
          <w:noProof/>
        </w:rPr>
        <w:t>(d)</w:t>
      </w:r>
      <w:r w:rsidR="008D4F3E" w:rsidRPr="0066713A">
        <w:rPr>
          <w:noProof/>
        </w:rPr>
        <w:tab/>
      </w:r>
      <w:r w:rsidR="001515F5" w:rsidRPr="0066713A">
        <w:rPr>
          <w:noProof/>
        </w:rPr>
        <w:t xml:space="preserve">providing access to updated, comprehensive, user-friendly and clearly understandable information on their social protection rights and obligations, and to ensure that entitlements – whether acquired through mandatory or voluntary schemes – are preserved, accumulated and/or transferable across all types of employment and self-employment statuses and across borders, economic sectors, throughout </w:t>
      </w:r>
      <w:r w:rsidR="00DF4F02" w:rsidRPr="0066713A">
        <w:rPr>
          <w:noProof/>
        </w:rPr>
        <w:t>the</w:t>
      </w:r>
      <w:r w:rsidR="001515F5" w:rsidRPr="0066713A">
        <w:rPr>
          <w:noProof/>
        </w:rPr>
        <w:t xml:space="preserve"> working life or during a certain reference period and between different schemes within a given social protection branch</w:t>
      </w:r>
      <w:bookmarkEnd w:id="23"/>
      <w:r w:rsidR="00B42A98" w:rsidRPr="0066713A">
        <w:rPr>
          <w:noProof/>
        </w:rPr>
        <w:t>;</w:t>
      </w:r>
    </w:p>
    <w:p w14:paraId="7DD216EE" w14:textId="77777777" w:rsidR="00891CC8" w:rsidRPr="00814C1E" w:rsidRDefault="00826CDD" w:rsidP="003F0E7D">
      <w:pPr>
        <w:pStyle w:val="Point1"/>
        <w:rPr>
          <w:noProof/>
        </w:rPr>
      </w:pPr>
      <w:bookmarkStart w:id="25" w:name="_Hlk160872428"/>
      <w:bookmarkEnd w:id="19"/>
      <w:bookmarkEnd w:id="24"/>
      <w:r>
        <w:rPr>
          <w:noProof/>
        </w:rPr>
        <w:t>(e)</w:t>
      </w:r>
      <w:r w:rsidR="008D4F3E" w:rsidRPr="008D4F3E">
        <w:rPr>
          <w:noProof/>
        </w:rPr>
        <w:tab/>
      </w:r>
      <w:r w:rsidR="00B42A98">
        <w:rPr>
          <w:noProof/>
        </w:rPr>
        <w:t>e</w:t>
      </w:r>
      <w:r w:rsidR="002A3DBD" w:rsidRPr="00814C1E">
        <w:rPr>
          <w:noProof/>
        </w:rPr>
        <w:t>nsur</w:t>
      </w:r>
      <w:r w:rsidR="009434F9">
        <w:rPr>
          <w:noProof/>
        </w:rPr>
        <w:t>ing</w:t>
      </w:r>
      <w:r w:rsidR="002A3DBD" w:rsidRPr="00814C1E">
        <w:rPr>
          <w:noProof/>
        </w:rPr>
        <w:t xml:space="preserve"> that </w:t>
      </w:r>
      <w:r w:rsidR="003B1740" w:rsidRPr="00814C1E">
        <w:rPr>
          <w:noProof/>
        </w:rPr>
        <w:t xml:space="preserve">academic staff </w:t>
      </w:r>
      <w:r w:rsidR="00F864F0" w:rsidRPr="00814C1E">
        <w:rPr>
          <w:noProof/>
        </w:rPr>
        <w:t>can</w:t>
      </w:r>
      <w:r w:rsidR="002A3DBD" w:rsidRPr="00814C1E">
        <w:rPr>
          <w:noProof/>
        </w:rPr>
        <w:t xml:space="preserve"> engage, </w:t>
      </w:r>
      <w:r w:rsidR="003B1740" w:rsidRPr="00814C1E">
        <w:rPr>
          <w:noProof/>
        </w:rPr>
        <w:t>at all stages of their careers and whatever their type of employment contract</w:t>
      </w:r>
      <w:r w:rsidR="002A3DBD" w:rsidRPr="00814C1E">
        <w:rPr>
          <w:noProof/>
        </w:rPr>
        <w:t>,</w:t>
      </w:r>
      <w:r w:rsidR="00891CC8" w:rsidRPr="00814C1E">
        <w:rPr>
          <w:noProof/>
        </w:rPr>
        <w:t xml:space="preserve"> in teaching and learning, in research, </w:t>
      </w:r>
      <w:r w:rsidR="00891CC8" w:rsidRPr="003F0E7D">
        <w:rPr>
          <w:noProof/>
        </w:rPr>
        <w:t>without interference</w:t>
      </w:r>
      <w:r w:rsidR="001E349C" w:rsidRPr="003F0E7D">
        <w:rPr>
          <w:noProof/>
        </w:rPr>
        <w:t xml:space="preserve"> or fear of reprisal</w:t>
      </w:r>
      <w:r w:rsidR="00FB7D37" w:rsidRPr="003F0E7D">
        <w:rPr>
          <w:noProof/>
        </w:rPr>
        <w:t xml:space="preserve"> </w:t>
      </w:r>
      <w:r w:rsidR="00891CC8" w:rsidRPr="003F0E7D">
        <w:rPr>
          <w:noProof/>
        </w:rPr>
        <w:t>by:</w:t>
      </w:r>
    </w:p>
    <w:p w14:paraId="7FC69A5A" w14:textId="77777777" w:rsidR="00891CC8" w:rsidRPr="00814C1E" w:rsidRDefault="008B095F" w:rsidP="00304FF4">
      <w:pPr>
        <w:pStyle w:val="Point2"/>
        <w:spacing w:before="0" w:after="0"/>
        <w:ind w:left="1985"/>
        <w:rPr>
          <w:noProof/>
        </w:rPr>
      </w:pPr>
      <w:r>
        <w:rPr>
          <w:noProof/>
        </w:rPr>
        <w:t>(i)</w:t>
      </w:r>
      <w:r w:rsidR="00EC7DB6" w:rsidRPr="00EC7DB6">
        <w:rPr>
          <w:noProof/>
        </w:rPr>
        <w:tab/>
      </w:r>
      <w:r w:rsidR="00EC7DB6">
        <w:rPr>
          <w:noProof/>
        </w:rPr>
        <w:t>contribut</w:t>
      </w:r>
      <w:r w:rsidR="00015C0F">
        <w:rPr>
          <w:noProof/>
        </w:rPr>
        <w:t>ing to</w:t>
      </w:r>
      <w:r w:rsidR="00EC7DB6" w:rsidRPr="00814C1E">
        <w:rPr>
          <w:noProof/>
        </w:rPr>
        <w:t xml:space="preserve"> </w:t>
      </w:r>
      <w:r w:rsidR="00891CC8" w:rsidRPr="00814C1E">
        <w:rPr>
          <w:noProof/>
        </w:rPr>
        <w:t>the effectiveness of monitoring mechanisms promoting and defending academic freedom</w:t>
      </w:r>
      <w:r w:rsidR="00EC7DB6">
        <w:rPr>
          <w:noProof/>
        </w:rPr>
        <w:t>;</w:t>
      </w:r>
    </w:p>
    <w:p w14:paraId="011C6337" w14:textId="77777777" w:rsidR="00891CC8" w:rsidRPr="00814C1E" w:rsidRDefault="008B095F" w:rsidP="00304FF4">
      <w:pPr>
        <w:pStyle w:val="Point2"/>
        <w:spacing w:before="0" w:after="0"/>
        <w:ind w:left="1985"/>
        <w:rPr>
          <w:noProof/>
        </w:rPr>
      </w:pPr>
      <w:r>
        <w:rPr>
          <w:noProof/>
        </w:rPr>
        <w:lastRenderedPageBreak/>
        <w:t>(ii)</w:t>
      </w:r>
      <w:r w:rsidR="00EC7DB6" w:rsidRPr="00EC7DB6">
        <w:rPr>
          <w:noProof/>
        </w:rPr>
        <w:tab/>
      </w:r>
      <w:r w:rsidR="00EC7DB6">
        <w:rPr>
          <w:noProof/>
        </w:rPr>
        <w:t>d</w:t>
      </w:r>
      <w:r w:rsidR="00891CC8" w:rsidRPr="00814C1E">
        <w:rPr>
          <w:noProof/>
        </w:rPr>
        <w:t>efining frameworks to protect individual members of academic staff against undue external interference and threats</w:t>
      </w:r>
      <w:r w:rsidR="00EC7DB6">
        <w:rPr>
          <w:noProof/>
        </w:rPr>
        <w:t>;</w:t>
      </w:r>
    </w:p>
    <w:p w14:paraId="3916D37A" w14:textId="77777777" w:rsidR="004042B3" w:rsidRPr="00814C1E" w:rsidRDefault="008B095F" w:rsidP="00304FF4">
      <w:pPr>
        <w:pStyle w:val="Point2"/>
        <w:spacing w:before="0" w:after="0"/>
        <w:ind w:left="1985"/>
        <w:rPr>
          <w:noProof/>
        </w:rPr>
      </w:pPr>
      <w:r>
        <w:rPr>
          <w:noProof/>
        </w:rPr>
        <w:t>(iii)</w:t>
      </w:r>
      <w:r w:rsidR="00EC7DB6" w:rsidRPr="00EC7DB6">
        <w:rPr>
          <w:noProof/>
        </w:rPr>
        <w:tab/>
      </w:r>
      <w:r w:rsidR="00EC7DB6">
        <w:rPr>
          <w:noProof/>
        </w:rPr>
        <w:t>contributing to</w:t>
      </w:r>
      <w:r w:rsidR="00A045D8" w:rsidRPr="00814C1E">
        <w:rPr>
          <w:noProof/>
        </w:rPr>
        <w:t xml:space="preserve"> </w:t>
      </w:r>
      <w:r w:rsidR="004042B3" w:rsidRPr="00814C1E">
        <w:rPr>
          <w:noProof/>
        </w:rPr>
        <w:t>transparency in funding or co</w:t>
      </w:r>
      <w:r w:rsidR="000A23E7" w:rsidRPr="00814C1E">
        <w:rPr>
          <w:noProof/>
        </w:rPr>
        <w:t>ope</w:t>
      </w:r>
      <w:r w:rsidR="004042B3" w:rsidRPr="00814C1E">
        <w:rPr>
          <w:noProof/>
        </w:rPr>
        <w:t xml:space="preserve">ration agreements </w:t>
      </w:r>
      <w:r w:rsidR="00DC4246">
        <w:rPr>
          <w:noProof/>
        </w:rPr>
        <w:t>by</w:t>
      </w:r>
      <w:r w:rsidR="004042B3" w:rsidRPr="00814C1E">
        <w:rPr>
          <w:noProof/>
        </w:rPr>
        <w:t xml:space="preserve"> applying effective risk management</w:t>
      </w:r>
      <w:r w:rsidR="00A772C7">
        <w:rPr>
          <w:noProof/>
        </w:rPr>
        <w:t>;</w:t>
      </w:r>
    </w:p>
    <w:p w14:paraId="3BBBC664" w14:textId="586499E8" w:rsidR="000C1747" w:rsidRPr="00814C1E" w:rsidRDefault="008B095F" w:rsidP="003F0E7D">
      <w:pPr>
        <w:pStyle w:val="Point1"/>
        <w:rPr>
          <w:noProof/>
        </w:rPr>
      </w:pPr>
      <w:r>
        <w:rPr>
          <w:noProof/>
        </w:rPr>
        <w:t>(f)</w:t>
      </w:r>
      <w:r w:rsidR="008D4F3E">
        <w:rPr>
          <w:noProof/>
        </w:rPr>
        <w:tab/>
      </w:r>
      <w:r w:rsidR="00B42A98" w:rsidRPr="008D4F3E">
        <w:rPr>
          <w:noProof/>
        </w:rPr>
        <w:t>e</w:t>
      </w:r>
      <w:r w:rsidR="003D653B" w:rsidRPr="008D4F3E">
        <w:rPr>
          <w:noProof/>
        </w:rPr>
        <w:t>nsur</w:t>
      </w:r>
      <w:r w:rsidR="009434F9" w:rsidRPr="008D4F3E">
        <w:rPr>
          <w:noProof/>
        </w:rPr>
        <w:t>ing</w:t>
      </w:r>
      <w:r w:rsidR="003D653B" w:rsidRPr="008D4F3E">
        <w:rPr>
          <w:noProof/>
        </w:rPr>
        <w:t xml:space="preserve"> gender equality, gender balance, equal opportunities and inclusiveness for academic staff from all backgrounds</w:t>
      </w:r>
      <w:r w:rsidR="00051E63">
        <w:rPr>
          <w:noProof/>
        </w:rPr>
        <w:t>,</w:t>
      </w:r>
      <w:r w:rsidR="00DC4246">
        <w:rPr>
          <w:noProof/>
        </w:rPr>
        <w:t xml:space="preserve"> including </w:t>
      </w:r>
      <w:r w:rsidR="0008786F">
        <w:rPr>
          <w:noProof/>
        </w:rPr>
        <w:t xml:space="preserve">by </w:t>
      </w:r>
      <w:r w:rsidR="00DC4246">
        <w:rPr>
          <w:noProof/>
        </w:rPr>
        <w:t>d</w:t>
      </w:r>
      <w:r w:rsidR="000C1747" w:rsidRPr="00814C1E">
        <w:rPr>
          <w:noProof/>
        </w:rPr>
        <w:t>evelop</w:t>
      </w:r>
      <w:r w:rsidR="00DC4246">
        <w:rPr>
          <w:noProof/>
        </w:rPr>
        <w:t>ing</w:t>
      </w:r>
      <w:r w:rsidR="000C1747" w:rsidRPr="00814C1E">
        <w:rPr>
          <w:noProof/>
        </w:rPr>
        <w:t xml:space="preserve"> and shar</w:t>
      </w:r>
      <w:r w:rsidR="00DC4246">
        <w:rPr>
          <w:noProof/>
        </w:rPr>
        <w:t>ing</w:t>
      </w:r>
      <w:r w:rsidR="000C1747" w:rsidRPr="00814C1E">
        <w:rPr>
          <w:noProof/>
        </w:rPr>
        <w:t xml:space="preserve"> good practices in higher education </w:t>
      </w:r>
      <w:r w:rsidR="0008786F">
        <w:rPr>
          <w:noProof/>
        </w:rPr>
        <w:t>regarding gender equality, inclusiveness</w:t>
      </w:r>
      <w:r w:rsidR="0008786F" w:rsidRPr="00814C1E">
        <w:rPr>
          <w:noProof/>
        </w:rPr>
        <w:t xml:space="preserve"> and diversity</w:t>
      </w:r>
      <w:r w:rsidR="0008786F">
        <w:rPr>
          <w:noProof/>
        </w:rPr>
        <w:t xml:space="preserve"> </w:t>
      </w:r>
      <w:r w:rsidR="000C1747" w:rsidRPr="00814C1E">
        <w:rPr>
          <w:noProof/>
        </w:rPr>
        <w:t>and encourag</w:t>
      </w:r>
      <w:r w:rsidR="0008786F">
        <w:rPr>
          <w:noProof/>
        </w:rPr>
        <w:t>ing</w:t>
      </w:r>
      <w:r w:rsidR="000C1747" w:rsidRPr="00814C1E">
        <w:rPr>
          <w:noProof/>
        </w:rPr>
        <w:t xml:space="preserve"> higher education institutions to either use existing or develop new tools </w:t>
      </w:r>
      <w:r w:rsidR="0008786F" w:rsidRPr="00814C1E">
        <w:rPr>
          <w:noProof/>
        </w:rPr>
        <w:t>such as Diversity Charters</w:t>
      </w:r>
      <w:r w:rsidR="00EF456E">
        <w:rPr>
          <w:rStyle w:val="Allmrkuseviide"/>
          <w:noProof/>
        </w:rPr>
        <w:footnoteReference w:id="64"/>
      </w:r>
      <w:r w:rsidR="0008786F">
        <w:rPr>
          <w:noProof/>
        </w:rPr>
        <w:t xml:space="preserve">, </w:t>
      </w:r>
      <w:r>
        <w:rPr>
          <w:noProof/>
        </w:rPr>
        <w:t>codes</w:t>
      </w:r>
      <w:r w:rsidR="0008786F">
        <w:rPr>
          <w:noProof/>
        </w:rPr>
        <w:t xml:space="preserve"> of </w:t>
      </w:r>
      <w:r>
        <w:rPr>
          <w:noProof/>
        </w:rPr>
        <w:t>conduct</w:t>
      </w:r>
      <w:r w:rsidR="0008786F">
        <w:rPr>
          <w:noProof/>
        </w:rPr>
        <w:t xml:space="preserve">, </w:t>
      </w:r>
      <w:r w:rsidR="0008786F" w:rsidRPr="0034097F">
        <w:rPr>
          <w:noProof/>
        </w:rPr>
        <w:t>guidance material</w:t>
      </w:r>
      <w:r w:rsidR="006A4309">
        <w:rPr>
          <w:noProof/>
        </w:rPr>
        <w:t>s or</w:t>
      </w:r>
      <w:r w:rsidR="0008786F" w:rsidRPr="0034097F">
        <w:rPr>
          <w:noProof/>
        </w:rPr>
        <w:t xml:space="preserve"> handbooks</w:t>
      </w:r>
      <w:r w:rsidR="00DC4246">
        <w:rPr>
          <w:noProof/>
        </w:rPr>
        <w:t>;</w:t>
      </w:r>
    </w:p>
    <w:p w14:paraId="2DB6ABD1" w14:textId="77777777" w:rsidR="000C1747" w:rsidRPr="00814C1E" w:rsidRDefault="008B095F" w:rsidP="003F0E7D">
      <w:pPr>
        <w:pStyle w:val="Point1"/>
        <w:rPr>
          <w:noProof/>
        </w:rPr>
      </w:pPr>
      <w:r>
        <w:rPr>
          <w:noProof/>
        </w:rPr>
        <w:t>(g)</w:t>
      </w:r>
      <w:r w:rsidR="008D4F3E" w:rsidRPr="008D4F3E">
        <w:rPr>
          <w:noProof/>
        </w:rPr>
        <w:tab/>
      </w:r>
      <w:r w:rsidR="00B42A98" w:rsidRPr="003F0E7D">
        <w:rPr>
          <w:noProof/>
        </w:rPr>
        <w:t>e</w:t>
      </w:r>
      <w:r w:rsidR="000C1747" w:rsidRPr="003F0E7D">
        <w:rPr>
          <w:noProof/>
        </w:rPr>
        <w:t>nsur</w:t>
      </w:r>
      <w:r w:rsidR="009434F9" w:rsidRPr="003F0E7D">
        <w:rPr>
          <w:noProof/>
        </w:rPr>
        <w:t>ing</w:t>
      </w:r>
      <w:r w:rsidR="000C1747" w:rsidRPr="003F0E7D">
        <w:rPr>
          <w:noProof/>
        </w:rPr>
        <w:t xml:space="preserve"> the </w:t>
      </w:r>
      <w:r w:rsidR="00DC3D96" w:rsidRPr="003F0E7D">
        <w:rPr>
          <w:noProof/>
        </w:rPr>
        <w:t>e</w:t>
      </w:r>
      <w:r w:rsidR="637F49DD" w:rsidRPr="003F0E7D">
        <w:rPr>
          <w:noProof/>
        </w:rPr>
        <w:t xml:space="preserve">ffectiveness of </w:t>
      </w:r>
      <w:r w:rsidR="00327F3B">
        <w:rPr>
          <w:noProof/>
        </w:rPr>
        <w:t>measures</w:t>
      </w:r>
      <w:r w:rsidR="008F3E0C">
        <w:rPr>
          <w:noProof/>
        </w:rPr>
        <w:t xml:space="preserve"> aiming at creating an inclusive working environment</w:t>
      </w:r>
      <w:r w:rsidR="00444ED0">
        <w:rPr>
          <w:noProof/>
        </w:rPr>
        <w:t xml:space="preserve"> by</w:t>
      </w:r>
      <w:r w:rsidR="000C1747" w:rsidRPr="00814C1E">
        <w:rPr>
          <w:noProof/>
        </w:rPr>
        <w:t>:</w:t>
      </w:r>
    </w:p>
    <w:p w14:paraId="53EA4153" w14:textId="77777777" w:rsidR="000C1747" w:rsidRPr="00814C1E" w:rsidRDefault="008B095F" w:rsidP="00304FF4">
      <w:pPr>
        <w:pStyle w:val="Point2"/>
        <w:spacing w:before="0" w:after="0"/>
        <w:ind w:left="1985"/>
        <w:rPr>
          <w:noProof/>
        </w:rPr>
      </w:pPr>
      <w:r>
        <w:rPr>
          <w:noProof/>
        </w:rPr>
        <w:t>(i)</w:t>
      </w:r>
      <w:r w:rsidR="00EC7DB6" w:rsidRPr="00EC7DB6">
        <w:rPr>
          <w:noProof/>
        </w:rPr>
        <w:tab/>
      </w:r>
      <w:r w:rsidR="637F49DD" w:rsidRPr="00814C1E">
        <w:rPr>
          <w:noProof/>
        </w:rPr>
        <w:t>supporting female academic staff to achieve a high level of academic seniority and senior management/leadership roles</w:t>
      </w:r>
      <w:r w:rsidR="00DC4246">
        <w:rPr>
          <w:noProof/>
        </w:rPr>
        <w:t>;</w:t>
      </w:r>
    </w:p>
    <w:p w14:paraId="5CD8E32B" w14:textId="77777777" w:rsidR="00DC4246" w:rsidRDefault="008B095F" w:rsidP="00304FF4">
      <w:pPr>
        <w:pStyle w:val="Point2"/>
        <w:spacing w:before="0" w:after="0"/>
        <w:ind w:left="1985"/>
        <w:rPr>
          <w:noProof/>
        </w:rPr>
      </w:pPr>
      <w:r>
        <w:rPr>
          <w:noProof/>
        </w:rPr>
        <w:t>(ii)</w:t>
      </w:r>
      <w:r w:rsidR="00EC7DB6" w:rsidRPr="00EC7DB6">
        <w:rPr>
          <w:noProof/>
        </w:rPr>
        <w:tab/>
      </w:r>
      <w:r w:rsidR="006A4309">
        <w:rPr>
          <w:noProof/>
        </w:rPr>
        <w:t xml:space="preserve">promoting introduction of </w:t>
      </w:r>
      <w:r w:rsidR="637F49DD" w:rsidRPr="00814C1E">
        <w:rPr>
          <w:noProof/>
        </w:rPr>
        <w:t>gender equality</w:t>
      </w:r>
      <w:r w:rsidR="0008786F">
        <w:rPr>
          <w:noProof/>
        </w:rPr>
        <w:t xml:space="preserve"> plans</w:t>
      </w:r>
      <w:r w:rsidR="637F49DD" w:rsidRPr="00814C1E">
        <w:rPr>
          <w:noProof/>
        </w:rPr>
        <w:t xml:space="preserve"> </w:t>
      </w:r>
      <w:r w:rsidR="00DC3D96" w:rsidRPr="00814C1E">
        <w:rPr>
          <w:noProof/>
        </w:rPr>
        <w:t xml:space="preserve">and broader diversity and inclusion </w:t>
      </w:r>
      <w:r w:rsidR="637F49DD" w:rsidRPr="00814C1E">
        <w:rPr>
          <w:noProof/>
        </w:rPr>
        <w:t xml:space="preserve">plans at higher education institutions, and </w:t>
      </w:r>
      <w:r w:rsidR="000C1747" w:rsidRPr="00814C1E">
        <w:rPr>
          <w:noProof/>
        </w:rPr>
        <w:t xml:space="preserve">in </w:t>
      </w:r>
      <w:r w:rsidR="637F49DD" w:rsidRPr="00814C1E">
        <w:rPr>
          <w:noProof/>
        </w:rPr>
        <w:t>career promotion processes</w:t>
      </w:r>
      <w:r w:rsidR="00DC4246">
        <w:rPr>
          <w:noProof/>
        </w:rPr>
        <w:t>;</w:t>
      </w:r>
    </w:p>
    <w:p w14:paraId="078FD68B" w14:textId="77777777" w:rsidR="00965995" w:rsidRPr="00814C1E" w:rsidRDefault="008B095F" w:rsidP="00304FF4">
      <w:pPr>
        <w:pStyle w:val="Point2"/>
        <w:spacing w:before="0" w:after="0"/>
        <w:ind w:left="1985"/>
        <w:rPr>
          <w:noProof/>
        </w:rPr>
      </w:pPr>
      <w:r>
        <w:rPr>
          <w:noProof/>
        </w:rPr>
        <w:t>(iii)</w:t>
      </w:r>
      <w:r w:rsidR="00DC4246">
        <w:rPr>
          <w:noProof/>
        </w:rPr>
        <w:tab/>
        <w:t xml:space="preserve">contributing to more supportive and trust-based </w:t>
      </w:r>
      <w:r w:rsidR="0079049E">
        <w:rPr>
          <w:noProof/>
        </w:rPr>
        <w:t>appraisal</w:t>
      </w:r>
      <w:r w:rsidR="00DC4246">
        <w:rPr>
          <w:noProof/>
        </w:rPr>
        <w:t xml:space="preserve"> practices, prioritising</w:t>
      </w:r>
      <w:r w:rsidR="00DC4246" w:rsidRPr="00814C1E">
        <w:rPr>
          <w:noProof/>
        </w:rPr>
        <w:t xml:space="preserve"> intrinsic motivation, open feedback, and collaboration</w:t>
      </w:r>
      <w:r w:rsidR="00462648">
        <w:rPr>
          <w:noProof/>
        </w:rPr>
        <w:t>, including by developing the basis for evidence-based policy making on inclusion and diversity</w:t>
      </w:r>
      <w:r w:rsidR="00DC4246">
        <w:rPr>
          <w:noProof/>
        </w:rPr>
        <w:t>.</w:t>
      </w:r>
    </w:p>
    <w:p w14:paraId="342657E1" w14:textId="77777777" w:rsidR="00E205A8" w:rsidRPr="00814C1E" w:rsidRDefault="008B095F" w:rsidP="008B095F">
      <w:pPr>
        <w:pStyle w:val="Point0"/>
        <w:rPr>
          <w:noProof/>
        </w:rPr>
      </w:pPr>
      <w:r>
        <w:rPr>
          <w:noProof/>
        </w:rPr>
        <w:t>4.</w:t>
      </w:r>
      <w:r w:rsidR="008D4F3E" w:rsidRPr="00CE17B7">
        <w:rPr>
          <w:noProof/>
        </w:rPr>
        <w:tab/>
        <w:t>It is recommended that Member States</w:t>
      </w:r>
      <w:r w:rsidR="008D4F3E" w:rsidRPr="003F0E7D">
        <w:rPr>
          <w:noProof/>
        </w:rPr>
        <w:t xml:space="preserve"> </w:t>
      </w:r>
      <w:r w:rsidR="00B42A98" w:rsidRPr="003F0E7D">
        <w:rPr>
          <w:noProof/>
        </w:rPr>
        <w:t>e</w:t>
      </w:r>
      <w:r w:rsidR="002A3DBD" w:rsidRPr="003F0E7D">
        <w:rPr>
          <w:noProof/>
        </w:rPr>
        <w:t>ngage in m</w:t>
      </w:r>
      <w:r w:rsidR="00E205A8" w:rsidRPr="003F0E7D">
        <w:rPr>
          <w:noProof/>
        </w:rPr>
        <w:t xml:space="preserve">ore evidence-based </w:t>
      </w:r>
      <w:r w:rsidR="00D9374F" w:rsidRPr="003F0E7D">
        <w:rPr>
          <w:noProof/>
        </w:rPr>
        <w:t>policymaking</w:t>
      </w:r>
      <w:r w:rsidR="00E205A8" w:rsidRPr="003F0E7D">
        <w:rPr>
          <w:noProof/>
        </w:rPr>
        <w:t xml:space="preserve"> aimed at </w:t>
      </w:r>
      <w:r w:rsidR="005E6358">
        <w:rPr>
          <w:noProof/>
        </w:rPr>
        <w:t>creating competitive, safe, fair and non-discriminatory conditions in academia</w:t>
      </w:r>
      <w:r w:rsidR="00DC4246" w:rsidRPr="003F0E7D">
        <w:rPr>
          <w:noProof/>
        </w:rPr>
        <w:t xml:space="preserve"> </w:t>
      </w:r>
      <w:r w:rsidR="00ED750D">
        <w:rPr>
          <w:noProof/>
        </w:rPr>
        <w:t xml:space="preserve">based </w:t>
      </w:r>
      <w:r w:rsidR="00E205A8" w:rsidRPr="003F0E7D">
        <w:rPr>
          <w:noProof/>
        </w:rPr>
        <w:t xml:space="preserve">on available organisational, national, and </w:t>
      </w:r>
      <w:r w:rsidR="00612E78" w:rsidRPr="003F0E7D">
        <w:rPr>
          <w:noProof/>
        </w:rPr>
        <w:t>European</w:t>
      </w:r>
      <w:r w:rsidR="00DC4246" w:rsidRPr="003F0E7D">
        <w:rPr>
          <w:noProof/>
        </w:rPr>
        <w:t xml:space="preserve"> </w:t>
      </w:r>
      <w:r w:rsidR="00E205A8" w:rsidRPr="003F0E7D">
        <w:rPr>
          <w:noProof/>
        </w:rPr>
        <w:t>data</w:t>
      </w:r>
      <w:r w:rsidR="00ED750D">
        <w:rPr>
          <w:noProof/>
        </w:rPr>
        <w:t xml:space="preserve"> </w:t>
      </w:r>
      <w:r w:rsidR="00ED750D" w:rsidRPr="00814C1E">
        <w:rPr>
          <w:noProof/>
        </w:rPr>
        <w:t>on higher education career and staffing policy</w:t>
      </w:r>
      <w:r w:rsidR="00E205A8" w:rsidRPr="008D4F3E">
        <w:rPr>
          <w:noProof/>
        </w:rPr>
        <w:t>.</w:t>
      </w:r>
    </w:p>
    <w:bookmarkEnd w:id="25"/>
    <w:p w14:paraId="3E063438" w14:textId="77777777" w:rsidR="003B654D" w:rsidRPr="003B654D" w:rsidRDefault="008B095F" w:rsidP="00B918A1">
      <w:pPr>
        <w:pStyle w:val="Point0"/>
        <w:keepNext/>
        <w:keepLines/>
        <w:rPr>
          <w:noProof/>
        </w:rPr>
      </w:pPr>
      <w:r>
        <w:rPr>
          <w:noProof/>
        </w:rPr>
        <w:t>5.</w:t>
      </w:r>
      <w:r w:rsidR="007C373C" w:rsidRPr="00EB5CB5">
        <w:rPr>
          <w:noProof/>
        </w:rPr>
        <w:tab/>
      </w:r>
      <w:r w:rsidR="001616DF" w:rsidRPr="00814C1E">
        <w:rPr>
          <w:noProof/>
        </w:rPr>
        <w:t xml:space="preserve">It is recommended that Member States </w:t>
      </w:r>
      <w:r w:rsidR="00051E63">
        <w:rPr>
          <w:noProof/>
        </w:rPr>
        <w:t>follow</w:t>
      </w:r>
      <w:r w:rsidR="00051E63" w:rsidRPr="00814C1E">
        <w:rPr>
          <w:noProof/>
        </w:rPr>
        <w:t xml:space="preserve"> </w:t>
      </w:r>
      <w:r w:rsidR="001616DF" w:rsidRPr="00814C1E">
        <w:rPr>
          <w:noProof/>
        </w:rPr>
        <w:t>this Recommendation as soon as possible</w:t>
      </w:r>
      <w:r w:rsidR="00835C1D" w:rsidRPr="00814C1E">
        <w:rPr>
          <w:noProof/>
        </w:rPr>
        <w:t xml:space="preserve"> to allow for </w:t>
      </w:r>
      <w:r w:rsidR="002551DC">
        <w:rPr>
          <w:noProof/>
        </w:rPr>
        <w:t>the full implementation of the priorities of the Council Conclusion on a European strategy empowering higher education institutions</w:t>
      </w:r>
      <w:r w:rsidR="00276759">
        <w:rPr>
          <w:noProof/>
        </w:rPr>
        <w:t xml:space="preserve"> for the future of Europe</w:t>
      </w:r>
      <w:r w:rsidR="00276759">
        <w:rPr>
          <w:rStyle w:val="Allmrkuseviide"/>
          <w:noProof/>
        </w:rPr>
        <w:footnoteReference w:id="65"/>
      </w:r>
      <w:r w:rsidR="001616DF" w:rsidRPr="00814C1E">
        <w:rPr>
          <w:noProof/>
        </w:rPr>
        <w:t xml:space="preserve">. They are invited to </w:t>
      </w:r>
      <w:r w:rsidR="007C373C">
        <w:rPr>
          <w:noProof/>
        </w:rPr>
        <w:t xml:space="preserve">regularly </w:t>
      </w:r>
      <w:r w:rsidR="001616DF" w:rsidRPr="00814C1E">
        <w:rPr>
          <w:noProof/>
        </w:rPr>
        <w:t>inform the Commission</w:t>
      </w:r>
      <w:r w:rsidR="003D0D3E" w:rsidRPr="003F0E7D">
        <w:rPr>
          <w:noProof/>
        </w:rPr>
        <w:t>, in the context of the European Education Area framework working structures</w:t>
      </w:r>
      <w:r w:rsidR="005676A7">
        <w:rPr>
          <w:noProof/>
        </w:rPr>
        <w:t>,</w:t>
      </w:r>
      <w:r w:rsidR="001616DF" w:rsidRPr="003F0E7D">
        <w:rPr>
          <w:noProof/>
        </w:rPr>
        <w:t xml:space="preserve"> of the corresponding measures to be taken at the appropriate level to support the objectives of this Recommendation as essential steps towards achieving </w:t>
      </w:r>
      <w:r w:rsidR="0024685A" w:rsidRPr="003F0E7D">
        <w:rPr>
          <w:noProof/>
        </w:rPr>
        <w:t>and further developing the European Education Area</w:t>
      </w:r>
      <w:r w:rsidR="001616DF" w:rsidRPr="00276759">
        <w:rPr>
          <w:noProof/>
          <w:color w:val="333333"/>
          <w:sz w:val="27"/>
          <w:szCs w:val="27"/>
          <w:shd w:val="clear" w:color="auto" w:fill="FFFFFF"/>
        </w:rPr>
        <w:t>.</w:t>
      </w:r>
    </w:p>
    <w:p w14:paraId="0F0E2E40" w14:textId="40E5DE3E" w:rsidR="00687B11" w:rsidRPr="00814C1E" w:rsidRDefault="005F5FFF" w:rsidP="00696152">
      <w:pPr>
        <w:pStyle w:val="Fait"/>
        <w:rPr>
          <w:noProof/>
        </w:rPr>
      </w:pPr>
      <w:r>
        <w:rPr>
          <w:noProof/>
        </w:rPr>
        <w:t>Done at Brussels,</w:t>
      </w:r>
    </w:p>
    <w:p w14:paraId="2E1101ED" w14:textId="77777777" w:rsidR="00687B11" w:rsidRPr="00814C1E" w:rsidRDefault="00687B11" w:rsidP="00696152">
      <w:pPr>
        <w:pStyle w:val="Institutionquisigne"/>
        <w:rPr>
          <w:noProof/>
        </w:rPr>
      </w:pPr>
      <w:r w:rsidRPr="00814C1E">
        <w:rPr>
          <w:noProof/>
        </w:rPr>
        <w:tab/>
        <w:t>For the Council</w:t>
      </w:r>
    </w:p>
    <w:p w14:paraId="5D83AF2C" w14:textId="77777777" w:rsidR="00687B11" w:rsidRPr="00687B11" w:rsidRDefault="00687B11" w:rsidP="00687B11">
      <w:pPr>
        <w:pStyle w:val="Personnequisigne"/>
        <w:rPr>
          <w:noProof/>
        </w:rPr>
      </w:pPr>
      <w:r w:rsidRPr="00814C1E">
        <w:rPr>
          <w:noProof/>
        </w:rPr>
        <w:tab/>
        <w:t>The President</w:t>
      </w:r>
    </w:p>
    <w:sectPr w:rsidR="00687B11" w:rsidRPr="00687B11" w:rsidSect="00B14983">
      <w:headerReference w:type="even" r:id="rId20"/>
      <w:footerReference w:type="even" r:id="rId21"/>
      <w:footerReference w:type="default" r:id="rId22"/>
      <w:headerReference w:type="first" r:id="rId23"/>
      <w:footerReference w:type="first" r:id="rId2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26236B" w14:textId="77777777" w:rsidR="00AA7F06" w:rsidRDefault="00AA7F06" w:rsidP="00687B11">
      <w:pPr>
        <w:spacing w:before="0" w:after="0"/>
      </w:pPr>
      <w:r>
        <w:separator/>
      </w:r>
    </w:p>
  </w:endnote>
  <w:endnote w:type="continuationSeparator" w:id="0">
    <w:p w14:paraId="63EFDB58" w14:textId="77777777" w:rsidR="00AA7F06" w:rsidRDefault="00AA7F06" w:rsidP="00687B11">
      <w:pPr>
        <w:spacing w:before="0" w:after="0"/>
      </w:pPr>
      <w:r>
        <w:continuationSeparator/>
      </w:r>
    </w:p>
  </w:endnote>
  <w:endnote w:type="continuationNotice" w:id="1">
    <w:p w14:paraId="45C4A329" w14:textId="77777777" w:rsidR="00AA7F06" w:rsidRDefault="00AA7F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Times New Roman Bold">
    <w:altName w:val="Times New Roman"/>
    <w:panose1 w:val="02020803070505020304"/>
    <w:charset w:val="00"/>
    <w:family w:val="roman"/>
    <w:notTrueType/>
    <w:pitch w:val="default"/>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750230" w:rsidRPr="00D94637" w14:paraId="37CA506B" w14:textId="77777777" w:rsidTr="00750230">
      <w:trPr>
        <w:jc w:val="center"/>
      </w:trPr>
      <w:tc>
        <w:tcPr>
          <w:tcW w:w="5000" w:type="pct"/>
          <w:gridSpan w:val="7"/>
          <w:shd w:val="clear" w:color="auto" w:fill="auto"/>
          <w:tcMar>
            <w:top w:w="57" w:type="dxa"/>
          </w:tcMar>
        </w:tcPr>
        <w:p w14:paraId="109B7AFF" w14:textId="77777777" w:rsidR="00750230" w:rsidRPr="00D94637" w:rsidRDefault="00750230" w:rsidP="00D94637">
          <w:pPr>
            <w:pStyle w:val="FooterText"/>
            <w:pBdr>
              <w:top w:val="single" w:sz="4" w:space="1" w:color="auto"/>
            </w:pBdr>
            <w:spacing w:before="200"/>
            <w:rPr>
              <w:sz w:val="2"/>
              <w:szCs w:val="2"/>
            </w:rPr>
          </w:pPr>
          <w:bookmarkStart w:id="2" w:name="FOOTER_STANDARD"/>
        </w:p>
      </w:tc>
    </w:tr>
    <w:tr w:rsidR="00750230" w:rsidRPr="00B310DC" w14:paraId="64B1BB7F" w14:textId="77777777" w:rsidTr="00750230">
      <w:trPr>
        <w:jc w:val="center"/>
      </w:trPr>
      <w:tc>
        <w:tcPr>
          <w:tcW w:w="2500" w:type="pct"/>
          <w:gridSpan w:val="2"/>
          <w:shd w:val="clear" w:color="auto" w:fill="auto"/>
          <w:tcMar>
            <w:top w:w="0" w:type="dxa"/>
          </w:tcMar>
        </w:tcPr>
        <w:p w14:paraId="677BF328" w14:textId="5D472000" w:rsidR="00750230" w:rsidRPr="00AD7BF2" w:rsidRDefault="00750230" w:rsidP="004F54B2">
          <w:pPr>
            <w:pStyle w:val="FooterText"/>
          </w:pPr>
          <w:r>
            <w:t>8506/24</w:t>
          </w:r>
          <w:r w:rsidRPr="002511D8">
            <w:t xml:space="preserve"> </w:t>
          </w:r>
        </w:p>
      </w:tc>
      <w:tc>
        <w:tcPr>
          <w:tcW w:w="625" w:type="pct"/>
          <w:shd w:val="clear" w:color="auto" w:fill="auto"/>
          <w:tcMar>
            <w:top w:w="0" w:type="dxa"/>
          </w:tcMar>
        </w:tcPr>
        <w:p w14:paraId="192C4104" w14:textId="77777777" w:rsidR="00750230" w:rsidRPr="00AD7BF2" w:rsidRDefault="00750230" w:rsidP="00D94637">
          <w:pPr>
            <w:pStyle w:val="FooterText"/>
            <w:jc w:val="center"/>
          </w:pPr>
        </w:p>
      </w:tc>
      <w:tc>
        <w:tcPr>
          <w:tcW w:w="1286" w:type="pct"/>
          <w:gridSpan w:val="3"/>
          <w:shd w:val="clear" w:color="auto" w:fill="auto"/>
          <w:tcMar>
            <w:top w:w="0" w:type="dxa"/>
          </w:tcMar>
        </w:tcPr>
        <w:p w14:paraId="51C6F71E" w14:textId="7D9CFC73" w:rsidR="00750230" w:rsidRPr="002511D8" w:rsidRDefault="00750230" w:rsidP="00D94637">
          <w:pPr>
            <w:pStyle w:val="FooterText"/>
            <w:jc w:val="center"/>
          </w:pPr>
          <w:r>
            <w:t>CC/fco</w:t>
          </w:r>
        </w:p>
      </w:tc>
      <w:tc>
        <w:tcPr>
          <w:tcW w:w="589" w:type="pct"/>
          <w:shd w:val="clear" w:color="auto" w:fill="auto"/>
          <w:tcMar>
            <w:top w:w="0" w:type="dxa"/>
          </w:tcMar>
        </w:tcPr>
        <w:p w14:paraId="59030A5F" w14:textId="3F835872" w:rsidR="00750230" w:rsidRPr="00B310DC" w:rsidRDefault="00750230"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750230" w:rsidRPr="00D94637" w14:paraId="213E7224" w14:textId="77777777" w:rsidTr="00750230">
      <w:trPr>
        <w:jc w:val="center"/>
      </w:trPr>
      <w:tc>
        <w:tcPr>
          <w:tcW w:w="1774" w:type="pct"/>
          <w:shd w:val="clear" w:color="auto" w:fill="auto"/>
        </w:tcPr>
        <w:p w14:paraId="1172E0F0" w14:textId="4A016580" w:rsidR="00750230" w:rsidRPr="00AD7BF2" w:rsidRDefault="00750230" w:rsidP="00D94637">
          <w:pPr>
            <w:pStyle w:val="FooterText"/>
            <w:spacing w:before="40"/>
          </w:pPr>
        </w:p>
      </w:tc>
      <w:tc>
        <w:tcPr>
          <w:tcW w:w="1455" w:type="pct"/>
          <w:gridSpan w:val="3"/>
          <w:shd w:val="clear" w:color="auto" w:fill="auto"/>
        </w:tcPr>
        <w:p w14:paraId="7F2C1CF1" w14:textId="1339D866" w:rsidR="00750230" w:rsidRPr="00AD7BF2" w:rsidRDefault="00750230" w:rsidP="00D204D6">
          <w:pPr>
            <w:pStyle w:val="FooterText"/>
            <w:spacing w:before="40"/>
            <w:jc w:val="center"/>
          </w:pPr>
          <w:r>
            <w:t>TREE.1.B</w:t>
          </w:r>
        </w:p>
      </w:tc>
      <w:tc>
        <w:tcPr>
          <w:tcW w:w="742" w:type="pct"/>
          <w:shd w:val="clear" w:color="auto" w:fill="auto"/>
        </w:tcPr>
        <w:p w14:paraId="5A5F4DDF" w14:textId="6B3C9EEF" w:rsidR="00750230" w:rsidRPr="00D94637" w:rsidRDefault="00750230" w:rsidP="002F0099">
          <w:pPr>
            <w:pStyle w:val="FooterText"/>
            <w:jc w:val="center"/>
            <w:rPr>
              <w:b/>
              <w:position w:val="-4"/>
              <w:sz w:val="36"/>
            </w:rPr>
          </w:pPr>
        </w:p>
      </w:tc>
      <w:tc>
        <w:tcPr>
          <w:tcW w:w="1029" w:type="pct"/>
          <w:gridSpan w:val="2"/>
          <w:shd w:val="clear" w:color="auto" w:fill="auto"/>
        </w:tcPr>
        <w:p w14:paraId="153B5BD3" w14:textId="6AC4C637" w:rsidR="00750230" w:rsidRPr="00695BAF" w:rsidRDefault="00750230" w:rsidP="00D94637">
          <w:pPr>
            <w:pStyle w:val="FooterText"/>
            <w:jc w:val="right"/>
            <w:rPr>
              <w:caps/>
              <w:spacing w:val="-20"/>
              <w:sz w:val="16"/>
            </w:rPr>
          </w:pPr>
          <w:r>
            <w:rPr>
              <w:b/>
              <w:caps/>
              <w:spacing w:val="-20"/>
              <w:position w:val="-4"/>
              <w:sz w:val="36"/>
            </w:rPr>
            <w:t>EN</w:t>
          </w:r>
        </w:p>
      </w:tc>
    </w:tr>
    <w:bookmarkEnd w:id="2"/>
  </w:tbl>
  <w:p w14:paraId="6B388745" w14:textId="3C05A112" w:rsidR="00B14983" w:rsidRPr="00750230" w:rsidRDefault="00B14983" w:rsidP="00750230">
    <w:pPr>
      <w:pStyle w:val="FooterCounci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750230" w:rsidRPr="00D94637" w14:paraId="2A74AE6D" w14:textId="77777777" w:rsidTr="00750230">
      <w:trPr>
        <w:jc w:val="center"/>
      </w:trPr>
      <w:tc>
        <w:tcPr>
          <w:tcW w:w="5000" w:type="pct"/>
          <w:gridSpan w:val="7"/>
          <w:shd w:val="clear" w:color="auto" w:fill="auto"/>
          <w:tcMar>
            <w:top w:w="57" w:type="dxa"/>
          </w:tcMar>
        </w:tcPr>
        <w:p w14:paraId="48A62F62" w14:textId="77777777" w:rsidR="00750230" w:rsidRPr="00D94637" w:rsidRDefault="00750230" w:rsidP="00D94637">
          <w:pPr>
            <w:pStyle w:val="FooterText"/>
            <w:pBdr>
              <w:top w:val="single" w:sz="4" w:space="1" w:color="auto"/>
            </w:pBdr>
            <w:spacing w:before="200"/>
            <w:rPr>
              <w:sz w:val="2"/>
              <w:szCs w:val="2"/>
            </w:rPr>
          </w:pPr>
        </w:p>
      </w:tc>
    </w:tr>
    <w:tr w:rsidR="00750230" w:rsidRPr="00B310DC" w14:paraId="33E07F2A" w14:textId="77777777" w:rsidTr="00750230">
      <w:trPr>
        <w:jc w:val="center"/>
      </w:trPr>
      <w:tc>
        <w:tcPr>
          <w:tcW w:w="2500" w:type="pct"/>
          <w:gridSpan w:val="2"/>
          <w:shd w:val="clear" w:color="auto" w:fill="auto"/>
          <w:tcMar>
            <w:top w:w="0" w:type="dxa"/>
          </w:tcMar>
        </w:tcPr>
        <w:p w14:paraId="59544DAF" w14:textId="182F7BCE" w:rsidR="00750230" w:rsidRPr="00AD7BF2" w:rsidRDefault="00750230" w:rsidP="004F54B2">
          <w:pPr>
            <w:pStyle w:val="FooterText"/>
          </w:pPr>
          <w:r>
            <w:t>8506/24</w:t>
          </w:r>
          <w:r w:rsidRPr="002511D8">
            <w:t xml:space="preserve"> </w:t>
          </w:r>
        </w:p>
      </w:tc>
      <w:tc>
        <w:tcPr>
          <w:tcW w:w="625" w:type="pct"/>
          <w:shd w:val="clear" w:color="auto" w:fill="auto"/>
          <w:tcMar>
            <w:top w:w="0" w:type="dxa"/>
          </w:tcMar>
        </w:tcPr>
        <w:p w14:paraId="1235145C" w14:textId="77777777" w:rsidR="00750230" w:rsidRPr="00AD7BF2" w:rsidRDefault="00750230" w:rsidP="00D94637">
          <w:pPr>
            <w:pStyle w:val="FooterText"/>
            <w:jc w:val="center"/>
          </w:pPr>
        </w:p>
      </w:tc>
      <w:tc>
        <w:tcPr>
          <w:tcW w:w="1286" w:type="pct"/>
          <w:gridSpan w:val="3"/>
          <w:shd w:val="clear" w:color="auto" w:fill="auto"/>
          <w:tcMar>
            <w:top w:w="0" w:type="dxa"/>
          </w:tcMar>
        </w:tcPr>
        <w:p w14:paraId="195AC279" w14:textId="572B5BC7" w:rsidR="00750230" w:rsidRPr="002511D8" w:rsidRDefault="00750230" w:rsidP="00D94637">
          <w:pPr>
            <w:pStyle w:val="FooterText"/>
            <w:jc w:val="center"/>
          </w:pPr>
          <w:r>
            <w:t>CC/fco</w:t>
          </w:r>
        </w:p>
      </w:tc>
      <w:tc>
        <w:tcPr>
          <w:tcW w:w="589" w:type="pct"/>
          <w:shd w:val="clear" w:color="auto" w:fill="auto"/>
          <w:tcMar>
            <w:top w:w="0" w:type="dxa"/>
          </w:tcMar>
        </w:tcPr>
        <w:p w14:paraId="49E36683" w14:textId="0272E4E6" w:rsidR="00750230" w:rsidRPr="00B310DC" w:rsidRDefault="00750230" w:rsidP="00D94637">
          <w:pPr>
            <w:pStyle w:val="FooterText"/>
            <w:jc w:val="right"/>
          </w:pPr>
        </w:p>
      </w:tc>
    </w:tr>
    <w:tr w:rsidR="00750230" w:rsidRPr="00D94637" w14:paraId="613240BC" w14:textId="77777777" w:rsidTr="00750230">
      <w:trPr>
        <w:jc w:val="center"/>
      </w:trPr>
      <w:tc>
        <w:tcPr>
          <w:tcW w:w="1774" w:type="pct"/>
          <w:shd w:val="clear" w:color="auto" w:fill="auto"/>
        </w:tcPr>
        <w:p w14:paraId="467B445A" w14:textId="0FB11F4D" w:rsidR="00750230" w:rsidRPr="00AD7BF2" w:rsidRDefault="00750230" w:rsidP="00D94637">
          <w:pPr>
            <w:pStyle w:val="FooterText"/>
            <w:spacing w:before="40"/>
          </w:pPr>
        </w:p>
      </w:tc>
      <w:tc>
        <w:tcPr>
          <w:tcW w:w="1455" w:type="pct"/>
          <w:gridSpan w:val="3"/>
          <w:shd w:val="clear" w:color="auto" w:fill="auto"/>
        </w:tcPr>
        <w:p w14:paraId="01F9FF39" w14:textId="60B0E4AE" w:rsidR="00750230" w:rsidRPr="00AD7BF2" w:rsidRDefault="00750230" w:rsidP="00D204D6">
          <w:pPr>
            <w:pStyle w:val="FooterText"/>
            <w:spacing w:before="40"/>
            <w:jc w:val="center"/>
          </w:pPr>
          <w:r>
            <w:t>TREE.1.B</w:t>
          </w:r>
        </w:p>
      </w:tc>
      <w:tc>
        <w:tcPr>
          <w:tcW w:w="742" w:type="pct"/>
          <w:shd w:val="clear" w:color="auto" w:fill="auto"/>
        </w:tcPr>
        <w:p w14:paraId="6EC0EEF8" w14:textId="168EC5DA" w:rsidR="00750230" w:rsidRPr="00D94637" w:rsidRDefault="00750230" w:rsidP="002F0099">
          <w:pPr>
            <w:pStyle w:val="FooterText"/>
            <w:jc w:val="center"/>
            <w:rPr>
              <w:b/>
              <w:position w:val="-4"/>
              <w:sz w:val="36"/>
            </w:rPr>
          </w:pPr>
        </w:p>
      </w:tc>
      <w:tc>
        <w:tcPr>
          <w:tcW w:w="1029" w:type="pct"/>
          <w:gridSpan w:val="2"/>
          <w:shd w:val="clear" w:color="auto" w:fill="auto"/>
        </w:tcPr>
        <w:p w14:paraId="7A9C81F3" w14:textId="7002DC9F" w:rsidR="00750230" w:rsidRPr="00695BAF" w:rsidRDefault="00750230" w:rsidP="00D94637">
          <w:pPr>
            <w:pStyle w:val="FooterText"/>
            <w:jc w:val="right"/>
            <w:rPr>
              <w:caps/>
              <w:spacing w:val="-20"/>
              <w:sz w:val="16"/>
            </w:rPr>
          </w:pPr>
          <w:r>
            <w:rPr>
              <w:b/>
              <w:caps/>
              <w:spacing w:val="-20"/>
              <w:position w:val="-4"/>
              <w:sz w:val="36"/>
            </w:rPr>
            <w:t>EN</w:t>
          </w:r>
        </w:p>
      </w:tc>
    </w:tr>
  </w:tbl>
  <w:p w14:paraId="5E952EF3" w14:textId="77777777" w:rsidR="00254C90" w:rsidRPr="00750230" w:rsidRDefault="00254C90" w:rsidP="00750230">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D320B" w14:textId="77777777" w:rsidR="00254C90" w:rsidRPr="00B14983" w:rsidRDefault="00254C90" w:rsidP="00B14983">
    <w:pPr>
      <w:pStyle w:val="Jalus"/>
      <w:rPr>
        <w:rFonts w:ascii="Arial" w:hAnsi="Arial" w:cs="Arial"/>
        <w:b/>
        <w:sz w:val="48"/>
      </w:rPr>
    </w:pPr>
    <w:r w:rsidRPr="00B14983">
      <w:rPr>
        <w:rFonts w:ascii="Arial" w:hAnsi="Arial" w:cs="Arial"/>
        <w:b/>
        <w:sz w:val="48"/>
      </w:rPr>
      <w:t>EN</w:t>
    </w:r>
    <w:r w:rsidRPr="00B14983">
      <w:rPr>
        <w:rFonts w:ascii="Arial" w:hAnsi="Arial" w:cs="Arial"/>
        <w:b/>
        <w:sz w:val="48"/>
      </w:rPr>
      <w:tab/>
    </w:r>
    <w:r w:rsidRPr="00B14983">
      <w:rPr>
        <w:rFonts w:ascii="Arial" w:hAnsi="Arial" w:cs="Arial"/>
        <w:b/>
        <w:sz w:val="48"/>
      </w:rPr>
      <w:tab/>
    </w:r>
    <w:r w:rsidRPr="00B14983">
      <w:tab/>
    </w:r>
    <w:r w:rsidRPr="00B14983">
      <w:rPr>
        <w:rFonts w:ascii="Arial" w:hAnsi="Arial" w:cs="Arial"/>
        <w:b/>
        <w:sz w:val="48"/>
      </w:rPr>
      <w:t>EN</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953BB" w14:textId="77777777" w:rsidR="00254C90" w:rsidRPr="00B14983" w:rsidRDefault="00254C90" w:rsidP="00B14983">
    <w:pPr>
      <w:pStyle w:val="Jalus"/>
      <w:rPr>
        <w:rFonts w:ascii="Arial" w:hAnsi="Arial" w:cs="Arial"/>
        <w:b/>
        <w:sz w:val="48"/>
      </w:rPr>
    </w:pPr>
    <w:r w:rsidRPr="00B14983">
      <w:rPr>
        <w:rFonts w:ascii="Arial" w:hAnsi="Arial" w:cs="Arial"/>
        <w:b/>
        <w:sz w:val="48"/>
      </w:rPr>
      <w:t>EN</w:t>
    </w:r>
    <w:r w:rsidRPr="00B14983">
      <w:rPr>
        <w:rFonts w:ascii="Arial" w:hAnsi="Arial" w:cs="Arial"/>
        <w:b/>
        <w:sz w:val="48"/>
      </w:rPr>
      <w:tab/>
    </w:r>
    <w:r w:rsidRPr="00B14983">
      <w:rPr>
        <w:rFonts w:ascii="Arial" w:hAnsi="Arial" w:cs="Arial"/>
        <w:b/>
        <w:sz w:val="48"/>
      </w:rPr>
      <w:tab/>
    </w:r>
    <w:r w:rsidRPr="00B14983">
      <w:tab/>
    </w:r>
    <w:r w:rsidRPr="00B14983">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2FB47" w14:textId="77777777" w:rsidR="00254C90" w:rsidRDefault="00254C90">
    <w:pPr>
      <w:pStyle w:val="Jalu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2FB35" w14:textId="77777777" w:rsidR="00B14983" w:rsidRDefault="00B14983">
    <w:pPr>
      <w:pStyle w:val="Jalu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9A87" w14:textId="1321B672" w:rsidR="00B14983" w:rsidRPr="00B14983" w:rsidRDefault="00B14983" w:rsidP="00B14983">
    <w:pPr>
      <w:pStyle w:val="Jalus"/>
      <w:rPr>
        <w:rFonts w:ascii="Arial" w:hAnsi="Arial" w:cs="Arial"/>
        <w:b/>
        <w:sz w:val="48"/>
      </w:rPr>
    </w:pPr>
    <w:r w:rsidRPr="00B14983">
      <w:rPr>
        <w:rFonts w:ascii="Arial" w:hAnsi="Arial" w:cs="Arial"/>
        <w:b/>
        <w:sz w:val="48"/>
      </w:rPr>
      <w:t>EN</w:t>
    </w:r>
    <w:r w:rsidRPr="00B14983">
      <w:rPr>
        <w:rFonts w:ascii="Arial" w:hAnsi="Arial" w:cs="Arial"/>
        <w:b/>
        <w:sz w:val="48"/>
      </w:rPr>
      <w:tab/>
    </w:r>
    <w:r>
      <w:fldChar w:fldCharType="begin"/>
    </w:r>
    <w:r>
      <w:instrText xml:space="preserve"> PAGE  \* MERGEFORMAT </w:instrText>
    </w:r>
    <w:r>
      <w:fldChar w:fldCharType="separate"/>
    </w:r>
    <w:r w:rsidR="00696152">
      <w:rPr>
        <w:noProof/>
      </w:rPr>
      <w:t>16</w:t>
    </w:r>
    <w:r>
      <w:fldChar w:fldCharType="end"/>
    </w:r>
    <w:r>
      <w:tab/>
    </w:r>
    <w:r w:rsidRPr="00B14983">
      <w:tab/>
    </w:r>
    <w:r w:rsidRPr="00B14983">
      <w:rPr>
        <w:rFonts w:ascii="Arial" w:hAnsi="Arial" w:cs="Arial"/>
        <w:b/>
        <w:sz w:val="48"/>
      </w:rPr>
      <w:t>EN</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B9A65" w14:textId="77777777" w:rsidR="00B14983" w:rsidRDefault="00B14983" w:rsidP="00B1498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C0E02" w14:textId="77777777" w:rsidR="00AA7F06" w:rsidRDefault="00AA7F06" w:rsidP="00687B11">
      <w:pPr>
        <w:spacing w:before="0" w:after="0"/>
      </w:pPr>
      <w:r>
        <w:separator/>
      </w:r>
    </w:p>
  </w:footnote>
  <w:footnote w:type="continuationSeparator" w:id="0">
    <w:p w14:paraId="24C74CF8" w14:textId="77777777" w:rsidR="00AA7F06" w:rsidRDefault="00AA7F06" w:rsidP="00687B11">
      <w:pPr>
        <w:spacing w:before="0" w:after="0"/>
      </w:pPr>
      <w:r>
        <w:continuationSeparator/>
      </w:r>
    </w:p>
  </w:footnote>
  <w:footnote w:type="continuationNotice" w:id="1">
    <w:p w14:paraId="1DBE0405" w14:textId="77777777" w:rsidR="00AA7F06" w:rsidRDefault="00AA7F06">
      <w:pPr>
        <w:spacing w:before="0" w:after="0"/>
      </w:pPr>
    </w:p>
  </w:footnote>
  <w:footnote w:id="2">
    <w:p w14:paraId="6CC9C43A" w14:textId="33858AB5" w:rsidR="000F3CEA" w:rsidRPr="00DC2E1F" w:rsidRDefault="000F3CEA" w:rsidP="00E4308B">
      <w:pPr>
        <w:pStyle w:val="Allmrkusetekst"/>
        <w:tabs>
          <w:tab w:val="left" w:pos="284"/>
        </w:tabs>
        <w:ind w:left="284" w:hanging="284"/>
        <w:rPr>
          <w:sz w:val="18"/>
          <w:szCs w:val="18"/>
          <w:lang w:val="en-IE"/>
        </w:rPr>
      </w:pPr>
      <w:r w:rsidRPr="00DC2E1F">
        <w:rPr>
          <w:rStyle w:val="Allmrkuseviide"/>
        </w:rPr>
        <w:footnoteRef/>
      </w:r>
      <w:r w:rsidR="008108CB" w:rsidRPr="00DC2E1F">
        <w:rPr>
          <w:sz w:val="18"/>
          <w:szCs w:val="18"/>
        </w:rPr>
        <w:tab/>
      </w:r>
      <w:r w:rsidRPr="00DC2E1F">
        <w:rPr>
          <w:sz w:val="18"/>
          <w:szCs w:val="18"/>
        </w:rPr>
        <w:t xml:space="preserve">Communication </w:t>
      </w:r>
      <w:r w:rsidR="00236642" w:rsidRPr="00DC2E1F">
        <w:rPr>
          <w:sz w:val="18"/>
          <w:szCs w:val="18"/>
        </w:rPr>
        <w:t xml:space="preserve">from the Commission to the European Parliament, the Council, the European Economic and Social Committee and the Committee of the Regions </w:t>
      </w:r>
      <w:r w:rsidRPr="00DC2E1F">
        <w:rPr>
          <w:sz w:val="18"/>
          <w:szCs w:val="18"/>
        </w:rPr>
        <w:t>on a blueprint for a European degree</w:t>
      </w:r>
      <w:r w:rsidR="00372E80" w:rsidRPr="00DC2E1F">
        <w:rPr>
          <w:sz w:val="18"/>
          <w:szCs w:val="18"/>
        </w:rPr>
        <w:t xml:space="preserve"> </w:t>
      </w:r>
      <w:r>
        <w:rPr>
          <w:sz w:val="18"/>
          <w:szCs w:val="18"/>
        </w:rPr>
        <w:t>COM(2024) 144.</w:t>
      </w:r>
    </w:p>
  </w:footnote>
  <w:footnote w:id="3">
    <w:p w14:paraId="1379D039" w14:textId="77777777" w:rsidR="00F158E7" w:rsidRPr="00DC2E1F" w:rsidRDefault="00F158E7" w:rsidP="00CE17B7">
      <w:pPr>
        <w:pStyle w:val="Allmrkusetekst"/>
        <w:tabs>
          <w:tab w:val="left" w:pos="284"/>
        </w:tabs>
        <w:ind w:left="284" w:hanging="284"/>
        <w:rPr>
          <w:sz w:val="18"/>
          <w:szCs w:val="18"/>
          <w:lang w:val="en-IE"/>
        </w:rPr>
      </w:pPr>
      <w:r w:rsidRPr="00DC2E1F">
        <w:rPr>
          <w:rStyle w:val="Allmrkuseviide"/>
        </w:rPr>
        <w:footnoteRef/>
      </w:r>
      <w:r w:rsidR="008108CB" w:rsidRPr="00DC2E1F">
        <w:rPr>
          <w:sz w:val="18"/>
          <w:szCs w:val="18"/>
          <w:lang w:val="en-IE"/>
        </w:rPr>
        <w:tab/>
      </w:r>
      <w:r w:rsidRPr="00DC2E1F">
        <w:rPr>
          <w:noProof/>
          <w:sz w:val="18"/>
          <w:szCs w:val="18"/>
          <w:lang w:val="en-IE"/>
        </w:rPr>
        <w:t>European Universities alliances, Erasmus Mundus Joint Masters, Marie Skłodowska-Curie (MSCA) Joint Doctoral Programmes, and EIT-labelled programmes</w:t>
      </w:r>
      <w:r w:rsidR="00372E80" w:rsidRPr="00DC2E1F">
        <w:rPr>
          <w:noProof/>
          <w:sz w:val="18"/>
          <w:szCs w:val="18"/>
          <w:lang w:val="en-IE"/>
        </w:rPr>
        <w:t xml:space="preserve"> </w:t>
      </w:r>
      <w:r w:rsidR="000E0F90" w:rsidRPr="00DC2E1F">
        <w:rPr>
          <w:noProof/>
          <w:sz w:val="18"/>
          <w:szCs w:val="18"/>
          <w:lang w:val="en-IE"/>
        </w:rPr>
        <w:t xml:space="preserve">funded </w:t>
      </w:r>
      <w:r w:rsidR="00372E80" w:rsidRPr="00DC2E1F">
        <w:rPr>
          <w:noProof/>
          <w:sz w:val="18"/>
          <w:szCs w:val="18"/>
          <w:lang w:val="en-IE"/>
        </w:rPr>
        <w:t xml:space="preserve">under </w:t>
      </w:r>
      <w:r w:rsidR="000E0F90" w:rsidRPr="00DC2E1F">
        <w:rPr>
          <w:noProof/>
          <w:sz w:val="18"/>
          <w:szCs w:val="18"/>
          <w:lang w:val="en-IE"/>
        </w:rPr>
        <w:t xml:space="preserve">the </w:t>
      </w:r>
      <w:r w:rsidR="00372E80" w:rsidRPr="00DC2E1F">
        <w:rPr>
          <w:noProof/>
          <w:sz w:val="18"/>
          <w:szCs w:val="18"/>
          <w:lang w:val="en-IE"/>
        </w:rPr>
        <w:t>Erasmus+</w:t>
      </w:r>
      <w:r w:rsidR="000E0F90" w:rsidRPr="00DC2E1F">
        <w:rPr>
          <w:noProof/>
          <w:sz w:val="18"/>
          <w:szCs w:val="18"/>
          <w:lang w:val="en-IE"/>
        </w:rPr>
        <w:t xml:space="preserve"> programme.</w:t>
      </w:r>
    </w:p>
  </w:footnote>
  <w:footnote w:id="4">
    <w:p w14:paraId="4335C498" w14:textId="77777777" w:rsidR="00D922E7" w:rsidRPr="00DC2E1F" w:rsidRDefault="00D922E7" w:rsidP="00CE17B7">
      <w:pPr>
        <w:pStyle w:val="Allmrkusetekst"/>
        <w:ind w:left="284" w:hanging="284"/>
        <w:rPr>
          <w:sz w:val="18"/>
          <w:szCs w:val="18"/>
          <w:lang w:val="en-IE"/>
        </w:rPr>
      </w:pPr>
      <w:r w:rsidRPr="00DC2E1F">
        <w:rPr>
          <w:rStyle w:val="Allmrkuseviide"/>
        </w:rPr>
        <w:footnoteRef/>
      </w:r>
      <w:r w:rsidR="003B48EA" w:rsidRPr="00DC2E1F">
        <w:rPr>
          <w:sz w:val="18"/>
          <w:szCs w:val="18"/>
        </w:rPr>
        <w:tab/>
      </w:r>
      <w:r w:rsidRPr="00DC2E1F">
        <w:rPr>
          <w:color w:val="000000"/>
          <w:sz w:val="18"/>
          <w:szCs w:val="18"/>
        </w:rPr>
        <w:t xml:space="preserve">Place-based innovation aims </w:t>
      </w:r>
      <w:r w:rsidR="00FE5C4A" w:rsidRPr="00DC2E1F">
        <w:rPr>
          <w:color w:val="000000"/>
          <w:sz w:val="18"/>
          <w:szCs w:val="18"/>
        </w:rPr>
        <w:t>to</w:t>
      </w:r>
      <w:r w:rsidRPr="00DC2E1F">
        <w:rPr>
          <w:color w:val="000000"/>
          <w:sz w:val="18"/>
          <w:szCs w:val="18"/>
        </w:rPr>
        <w:t xml:space="preserve"> achiev</w:t>
      </w:r>
      <w:r w:rsidR="00FE5C4A" w:rsidRPr="00DC2E1F">
        <w:rPr>
          <w:color w:val="000000"/>
          <w:sz w:val="18"/>
          <w:szCs w:val="18"/>
        </w:rPr>
        <w:t>e</w:t>
      </w:r>
      <w:r w:rsidRPr="00DC2E1F">
        <w:rPr>
          <w:color w:val="000000"/>
          <w:sz w:val="18"/>
          <w:szCs w:val="18"/>
        </w:rPr>
        <w:t xml:space="preserve"> urban</w:t>
      </w:r>
      <w:r w:rsidR="00FE5C4A" w:rsidRPr="00DC2E1F">
        <w:rPr>
          <w:color w:val="000000"/>
          <w:sz w:val="18"/>
          <w:szCs w:val="18"/>
        </w:rPr>
        <w:t>/</w:t>
      </w:r>
      <w:r w:rsidRPr="00DC2E1F">
        <w:rPr>
          <w:color w:val="000000"/>
          <w:sz w:val="18"/>
          <w:szCs w:val="18"/>
        </w:rPr>
        <w:t>regional economic transformation that surpasses impacts of national or EU-level strategies. This emphasises a bottom-up approach involving all relevant stakeholders, empowering cities or regions to develop strategies tailored to their needs</w:t>
      </w:r>
      <w:r w:rsidRPr="00DC2E1F">
        <w:rPr>
          <w:i/>
          <w:iCs/>
          <w:color w:val="000000"/>
          <w:sz w:val="18"/>
          <w:szCs w:val="18"/>
        </w:rPr>
        <w:t>.</w:t>
      </w:r>
      <w:r w:rsidR="00057C16" w:rsidRPr="00DC2E1F">
        <w:rPr>
          <w:color w:val="000000"/>
          <w:sz w:val="18"/>
          <w:szCs w:val="18"/>
        </w:rPr>
        <w:t xml:space="preserve"> See </w:t>
      </w:r>
      <w:r w:rsidRPr="00DC2E1F">
        <w:rPr>
          <w:sz w:val="18"/>
          <w:szCs w:val="18"/>
        </w:rPr>
        <w:t>Rissola, G. and Haberleithner, J., Place-Based Innovation Ecosystems. A case-study comparative analysis</w:t>
      </w:r>
      <w:r w:rsidR="00057C16" w:rsidRPr="00DC2E1F">
        <w:rPr>
          <w:sz w:val="18"/>
          <w:szCs w:val="18"/>
        </w:rPr>
        <w:t xml:space="preserve">, </w:t>
      </w:r>
      <w:r w:rsidRPr="00DC2E1F">
        <w:rPr>
          <w:sz w:val="18"/>
          <w:szCs w:val="18"/>
        </w:rPr>
        <w:t>Publications Office of the European Union, 2020, ISBN 978-92-76-19006-6.</w:t>
      </w:r>
    </w:p>
  </w:footnote>
  <w:footnote w:id="5">
    <w:p w14:paraId="00C3C34E" w14:textId="77777777" w:rsidR="0044402D" w:rsidRPr="00DC2E1F" w:rsidRDefault="0044402D" w:rsidP="00CE17B7">
      <w:pPr>
        <w:pStyle w:val="Allmrkusetekst"/>
        <w:ind w:left="284" w:hanging="284"/>
        <w:rPr>
          <w:sz w:val="18"/>
          <w:szCs w:val="18"/>
        </w:rPr>
      </w:pPr>
      <w:r w:rsidRPr="00DC2E1F">
        <w:rPr>
          <w:rStyle w:val="Allmrkuseviide"/>
        </w:rPr>
        <w:footnoteRef/>
      </w:r>
      <w:r w:rsidRPr="00DC2E1F">
        <w:rPr>
          <w:sz w:val="18"/>
          <w:szCs w:val="18"/>
        </w:rPr>
        <w:tab/>
        <w:t xml:space="preserve">Communication from the Commission to the European Parliament, the Council, the European Economic and Social Committee and the Committee of the Regions on achieving the European Education Area by 2025, </w:t>
      </w:r>
      <w:r w:rsidR="00125848" w:rsidRPr="00DC2E1F">
        <w:rPr>
          <w:sz w:val="18"/>
          <w:szCs w:val="18"/>
        </w:rPr>
        <w:t>30 September 2020,</w:t>
      </w:r>
      <w:r w:rsidR="00DF2F9A" w:rsidRPr="00DC2E1F">
        <w:rPr>
          <w:lang w:val="en-IE"/>
        </w:rPr>
        <w:t xml:space="preserve"> COM(2020)625 final</w:t>
      </w:r>
      <w:r w:rsidR="00125848" w:rsidRPr="00DC2E1F">
        <w:rPr>
          <w:sz w:val="18"/>
          <w:szCs w:val="18"/>
        </w:rPr>
        <w:t>.</w:t>
      </w:r>
    </w:p>
  </w:footnote>
  <w:footnote w:id="6">
    <w:p w14:paraId="712830C5" w14:textId="77777777" w:rsidR="00732E7E" w:rsidRPr="00DC2E1F" w:rsidRDefault="00732E7E" w:rsidP="00CE17B7">
      <w:pPr>
        <w:pStyle w:val="Allmrkusetekst"/>
        <w:ind w:left="284" w:hanging="284"/>
        <w:rPr>
          <w:bCs/>
          <w:sz w:val="18"/>
          <w:szCs w:val="18"/>
          <w:lang w:val="en-IE"/>
        </w:rPr>
      </w:pPr>
      <w:r w:rsidRPr="00DC2E1F">
        <w:rPr>
          <w:rStyle w:val="Allmrkuseviide"/>
        </w:rPr>
        <w:footnoteRef/>
      </w:r>
      <w:r w:rsidRPr="00DC2E1F">
        <w:rPr>
          <w:sz w:val="18"/>
          <w:szCs w:val="18"/>
          <w:lang w:val="en-IE"/>
        </w:rPr>
        <w:tab/>
      </w:r>
      <w:r w:rsidRPr="00DC2E1F">
        <w:rPr>
          <w:sz w:val="18"/>
          <w:szCs w:val="18"/>
        </w:rPr>
        <w:t>Council Recommendation of 18 December 2023 on a European framework to attract and retain research, innovation and entrepreneurial talents in Europe</w:t>
      </w:r>
      <w:r w:rsidRPr="00DC2E1F">
        <w:rPr>
          <w:b/>
          <w:bCs/>
          <w:color w:val="333333"/>
          <w:sz w:val="18"/>
          <w:szCs w:val="18"/>
          <w:shd w:val="clear" w:color="auto" w:fill="FFFFFF"/>
        </w:rPr>
        <w:t xml:space="preserve"> </w:t>
      </w:r>
      <w:r w:rsidR="00DC5834" w:rsidRPr="00DC2E1F">
        <w:rPr>
          <w:b/>
          <w:bCs/>
          <w:color w:val="333333"/>
          <w:sz w:val="18"/>
          <w:szCs w:val="18"/>
          <w:shd w:val="clear" w:color="auto" w:fill="FFFFFF"/>
        </w:rPr>
        <w:t>(</w:t>
      </w:r>
      <w:r w:rsidRPr="00DC2E1F">
        <w:rPr>
          <w:sz w:val="18"/>
          <w:szCs w:val="18"/>
        </w:rPr>
        <w:t>OJ C, C/2023/1640, 29.12.2023</w:t>
      </w:r>
      <w:r w:rsidR="00DC5834" w:rsidRPr="00DC2E1F">
        <w:rPr>
          <w:sz w:val="18"/>
          <w:szCs w:val="18"/>
        </w:rPr>
        <w:t>)</w:t>
      </w:r>
      <w:r w:rsidRPr="00DC2E1F">
        <w:rPr>
          <w:sz w:val="18"/>
          <w:szCs w:val="18"/>
        </w:rPr>
        <w:t>.</w:t>
      </w:r>
    </w:p>
  </w:footnote>
  <w:footnote w:id="7">
    <w:p w14:paraId="2DE3E091" w14:textId="77777777" w:rsidR="00732E7E" w:rsidRPr="00DC2E1F" w:rsidRDefault="00732E7E" w:rsidP="00CE17B7">
      <w:pPr>
        <w:pStyle w:val="Allmrkusetekst"/>
        <w:ind w:left="284" w:hanging="284"/>
        <w:rPr>
          <w:sz w:val="18"/>
          <w:szCs w:val="18"/>
          <w:lang w:val="en-IE"/>
        </w:rPr>
      </w:pPr>
      <w:r w:rsidRPr="00DC2E1F">
        <w:rPr>
          <w:rStyle w:val="Allmrkuseviide"/>
        </w:rPr>
        <w:footnoteRef/>
      </w:r>
      <w:r w:rsidR="008108CB" w:rsidRPr="00DC2E1F">
        <w:rPr>
          <w:sz w:val="18"/>
          <w:szCs w:val="18"/>
          <w:lang w:val="en-IE"/>
        </w:rPr>
        <w:tab/>
      </w:r>
      <w:r w:rsidRPr="00DC2E1F">
        <w:rPr>
          <w:sz w:val="18"/>
          <w:szCs w:val="18"/>
          <w:lang w:val="en-IE"/>
        </w:rPr>
        <w:t>https://research-and-innovation.ec.europa.eu/strategy/strategy-2020-2024/our-digital-future/european-research-area_en#what-is-era.</w:t>
      </w:r>
    </w:p>
  </w:footnote>
  <w:footnote w:id="8">
    <w:p w14:paraId="1A2AE861" w14:textId="77777777" w:rsidR="008501B9" w:rsidRPr="00DC2E1F" w:rsidRDefault="008501B9"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color w:val="000000"/>
          <w:sz w:val="18"/>
          <w:szCs w:val="18"/>
          <w:shd w:val="clear" w:color="auto" w:fill="FFFFFF"/>
          <w:lang w:val="en-IE"/>
        </w:rPr>
        <w:t>The European Universities initiative is a</w:t>
      </w:r>
      <w:r w:rsidR="0002160A" w:rsidRPr="00DC2E1F">
        <w:rPr>
          <w:color w:val="000000"/>
          <w:sz w:val="18"/>
          <w:szCs w:val="18"/>
          <w:shd w:val="clear" w:color="auto" w:fill="FFFFFF"/>
          <w:lang w:val="en-IE"/>
        </w:rPr>
        <w:t>n</w:t>
      </w:r>
      <w:r w:rsidRPr="00DC2E1F">
        <w:rPr>
          <w:color w:val="000000"/>
          <w:sz w:val="18"/>
          <w:szCs w:val="18"/>
          <w:shd w:val="clear" w:color="auto" w:fill="FFFFFF"/>
          <w:lang w:val="en-IE"/>
        </w:rPr>
        <w:t xml:space="preserve"> EU initiative aimed at establishing alliances between higher institutions from </w:t>
      </w:r>
      <w:r w:rsidR="005C3996" w:rsidRPr="00DC2E1F">
        <w:rPr>
          <w:color w:val="000000"/>
          <w:sz w:val="18"/>
          <w:szCs w:val="18"/>
          <w:shd w:val="clear" w:color="auto" w:fill="FFFFFF"/>
          <w:lang w:val="en-IE"/>
        </w:rPr>
        <w:t>across</w:t>
      </w:r>
      <w:r w:rsidRPr="00DC2E1F">
        <w:rPr>
          <w:color w:val="000000"/>
          <w:sz w:val="18"/>
          <w:szCs w:val="18"/>
          <w:shd w:val="clear" w:color="auto" w:fill="FFFFFF"/>
          <w:lang w:val="en-IE"/>
        </w:rPr>
        <w:t xml:space="preserve"> Europe.  It is implemented primarily through Erasmus+ funding.</w:t>
      </w:r>
    </w:p>
  </w:footnote>
  <w:footnote w:id="9">
    <w:p w14:paraId="7B219293" w14:textId="77777777" w:rsidR="008E1451" w:rsidRPr="00DC2E1F" w:rsidRDefault="008E1451" w:rsidP="00CE17B7">
      <w:pPr>
        <w:pStyle w:val="Allmrkusetekst"/>
        <w:ind w:left="284" w:hanging="284"/>
        <w:rPr>
          <w:sz w:val="18"/>
          <w:szCs w:val="18"/>
          <w:lang w:val="en-IE"/>
        </w:rPr>
      </w:pPr>
      <w:r w:rsidRPr="00DC2E1F">
        <w:rPr>
          <w:rStyle w:val="Allmrkuseviide"/>
        </w:rPr>
        <w:footnoteRef/>
      </w:r>
      <w:r w:rsidR="003B48EA" w:rsidRPr="00DC2E1F">
        <w:rPr>
          <w:sz w:val="18"/>
          <w:szCs w:val="18"/>
        </w:rPr>
        <w:tab/>
      </w:r>
      <w:r w:rsidR="00A00FDD" w:rsidRPr="00DC2E1F">
        <w:rPr>
          <w:sz w:val="18"/>
          <w:szCs w:val="18"/>
          <w:lang w:val="en-IE"/>
        </w:rPr>
        <w:t xml:space="preserve">Research conducted by </w:t>
      </w:r>
      <w:hyperlink r:id="rId1" w:history="1">
        <w:r w:rsidR="00A00FDD" w:rsidRPr="00DC2E1F">
          <w:rPr>
            <w:rStyle w:val="Hperlink"/>
            <w:sz w:val="18"/>
            <w:szCs w:val="18"/>
            <w:lang w:val="en-IE"/>
          </w:rPr>
          <w:t>ECORYS</w:t>
        </w:r>
      </w:hyperlink>
      <w:r w:rsidR="00A16F7A" w:rsidRPr="00DC2E1F">
        <w:rPr>
          <w:sz w:val="18"/>
          <w:szCs w:val="18"/>
          <w:lang w:val="en-IE"/>
        </w:rPr>
        <w:t xml:space="preserve"> (</w:t>
      </w:r>
      <w:r w:rsidR="00F306B4" w:rsidRPr="00DC2E1F">
        <w:rPr>
          <w:sz w:val="18"/>
          <w:szCs w:val="18"/>
          <w:lang w:val="en-IE"/>
        </w:rPr>
        <w:t xml:space="preserve">a </w:t>
      </w:r>
      <w:r w:rsidR="00EB34AB" w:rsidRPr="00DC2E1F">
        <w:rPr>
          <w:sz w:val="18"/>
          <w:szCs w:val="18"/>
          <w:lang w:val="en-IE"/>
        </w:rPr>
        <w:t xml:space="preserve">research-based </w:t>
      </w:r>
      <w:r w:rsidR="00A16F7A" w:rsidRPr="00DC2E1F">
        <w:rPr>
          <w:sz w:val="18"/>
          <w:szCs w:val="18"/>
          <w:lang w:val="en-IE"/>
        </w:rPr>
        <w:t>consultancy)</w:t>
      </w:r>
      <w:r w:rsidR="00DC5834" w:rsidRPr="00DC2E1F">
        <w:rPr>
          <w:sz w:val="18"/>
          <w:szCs w:val="18"/>
          <w:lang w:val="en-IE"/>
        </w:rPr>
        <w:t xml:space="preserve"> </w:t>
      </w:r>
      <w:r w:rsidR="00A00FDD" w:rsidRPr="00DC2E1F">
        <w:rPr>
          <w:sz w:val="18"/>
          <w:szCs w:val="18"/>
          <w:lang w:val="en-IE"/>
        </w:rPr>
        <w:t>in 2023</w:t>
      </w:r>
      <w:r w:rsidRPr="00DC2E1F">
        <w:rPr>
          <w:sz w:val="18"/>
          <w:szCs w:val="18"/>
          <w:lang w:val="en-IE"/>
        </w:rPr>
        <w:t>.</w:t>
      </w:r>
    </w:p>
  </w:footnote>
  <w:footnote w:id="10">
    <w:p w14:paraId="5200FA3A" w14:textId="77777777" w:rsidR="008E1451" w:rsidRPr="00DC2E1F" w:rsidRDefault="008E1451" w:rsidP="00CE17B7">
      <w:pPr>
        <w:pStyle w:val="Allmrkusetekst"/>
        <w:ind w:left="284" w:hanging="284"/>
        <w:rPr>
          <w:sz w:val="18"/>
          <w:szCs w:val="18"/>
          <w:lang w:val="en-IE"/>
        </w:rPr>
      </w:pPr>
      <w:r w:rsidRPr="00DC2E1F">
        <w:rPr>
          <w:rStyle w:val="Allmrkuseviide"/>
        </w:rPr>
        <w:footnoteRef/>
      </w:r>
      <w:r w:rsidR="003B48EA" w:rsidRPr="00DC2E1F">
        <w:rPr>
          <w:sz w:val="18"/>
          <w:szCs w:val="18"/>
        </w:rPr>
        <w:tab/>
      </w:r>
      <w:r w:rsidR="00522982" w:rsidRPr="00DC2E1F">
        <w:rPr>
          <w:sz w:val="18"/>
          <w:szCs w:val="18"/>
          <w:shd w:val="clear" w:color="auto" w:fill="FFFFFF"/>
          <w:lang w:val="en-IE"/>
        </w:rPr>
        <w:t xml:space="preserve">OECD (2024), </w:t>
      </w:r>
      <w:r w:rsidR="004D5EB2" w:rsidRPr="00DC2E1F">
        <w:rPr>
          <w:sz w:val="18"/>
          <w:szCs w:val="18"/>
          <w:shd w:val="clear" w:color="auto" w:fill="FFFFFF"/>
          <w:lang w:val="en-IE"/>
        </w:rPr>
        <w:t>‘</w:t>
      </w:r>
      <w:r w:rsidR="00522982" w:rsidRPr="00DC2E1F">
        <w:rPr>
          <w:sz w:val="18"/>
          <w:szCs w:val="18"/>
          <w:shd w:val="clear" w:color="auto" w:fill="FFFFFF"/>
          <w:lang w:val="en-IE"/>
        </w:rPr>
        <w:t>The state of academic careers in OECD countries: An evidence review</w:t>
      </w:r>
      <w:r w:rsidR="004D5EB2" w:rsidRPr="00DC2E1F">
        <w:rPr>
          <w:sz w:val="18"/>
          <w:szCs w:val="18"/>
          <w:shd w:val="clear" w:color="auto" w:fill="FFFFFF"/>
          <w:lang w:val="en-IE"/>
        </w:rPr>
        <w:t>’</w:t>
      </w:r>
      <w:r w:rsidR="00522982" w:rsidRPr="00DC2E1F">
        <w:rPr>
          <w:sz w:val="18"/>
          <w:szCs w:val="18"/>
          <w:shd w:val="clear" w:color="auto" w:fill="FFFFFF"/>
          <w:lang w:val="en-IE"/>
        </w:rPr>
        <w:t>, </w:t>
      </w:r>
      <w:r w:rsidR="00522982" w:rsidRPr="00DC2E1F">
        <w:rPr>
          <w:i/>
          <w:iCs/>
          <w:sz w:val="18"/>
          <w:szCs w:val="18"/>
          <w:shd w:val="clear" w:color="auto" w:fill="FFFFFF"/>
          <w:lang w:val="en-IE"/>
        </w:rPr>
        <w:t>OECD Education Policy Perspectives</w:t>
      </w:r>
      <w:r w:rsidR="00522982" w:rsidRPr="00DC2E1F">
        <w:rPr>
          <w:sz w:val="18"/>
          <w:szCs w:val="18"/>
          <w:shd w:val="clear" w:color="auto" w:fill="FFFFFF"/>
          <w:lang w:val="en-IE"/>
        </w:rPr>
        <w:t>, No. 91, OECD Publishing, Paris,</w:t>
      </w:r>
      <w:r w:rsidR="00522982" w:rsidRPr="00DC2E1F">
        <w:rPr>
          <w:color w:val="7F7F7F"/>
          <w:sz w:val="18"/>
          <w:szCs w:val="18"/>
          <w:shd w:val="clear" w:color="auto" w:fill="FFFFFF"/>
          <w:lang w:val="en-IE"/>
        </w:rPr>
        <w:t> </w:t>
      </w:r>
      <w:hyperlink r:id="rId2" w:history="1">
        <w:r w:rsidR="006947B2" w:rsidRPr="00DC2E1F">
          <w:rPr>
            <w:rStyle w:val="Hperlink"/>
            <w:sz w:val="18"/>
            <w:szCs w:val="18"/>
            <w:shd w:val="clear" w:color="auto" w:fill="FFFFFF"/>
            <w:lang w:val="en-IE"/>
          </w:rPr>
          <w:t>https://doi.org/10.1787/ea9d3108-en</w:t>
        </w:r>
      </w:hyperlink>
      <w:r w:rsidRPr="00DC2E1F">
        <w:rPr>
          <w:sz w:val="18"/>
          <w:szCs w:val="18"/>
          <w:lang w:val="en-IE"/>
        </w:rPr>
        <w:t>.</w:t>
      </w:r>
    </w:p>
  </w:footnote>
  <w:footnote w:id="11">
    <w:p w14:paraId="0A8C6169" w14:textId="77777777" w:rsidR="00D54822" w:rsidRPr="00DC2E1F" w:rsidRDefault="00D54822"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sz w:val="18"/>
          <w:szCs w:val="18"/>
        </w:rPr>
        <w:t>Organisation for Economic Cooperation and Development</w:t>
      </w:r>
      <w:r w:rsidR="00650A9F" w:rsidRPr="00DC2E1F">
        <w:rPr>
          <w:sz w:val="18"/>
          <w:szCs w:val="18"/>
        </w:rPr>
        <w:t>.</w:t>
      </w:r>
    </w:p>
  </w:footnote>
  <w:footnote w:id="12">
    <w:p w14:paraId="4681A08F" w14:textId="77777777" w:rsidR="007E3D28" w:rsidRPr="00DC2E1F" w:rsidRDefault="007E3D28"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sz w:val="18"/>
          <w:szCs w:val="18"/>
          <w:lang w:val="en-IE"/>
        </w:rPr>
        <w:t>These include transnational cooperation, business and community engagement (cooperation with different sectors of the economy and local communities), place-based innovation, and participation in institutional governance.</w:t>
      </w:r>
    </w:p>
  </w:footnote>
  <w:footnote w:id="13">
    <w:p w14:paraId="75F95641" w14:textId="77777777" w:rsidR="00842CD2" w:rsidRPr="00DC2E1F" w:rsidRDefault="00842CD2" w:rsidP="00CE17B7">
      <w:pPr>
        <w:pStyle w:val="Allmrkusetekst"/>
        <w:ind w:left="284" w:hanging="284"/>
        <w:rPr>
          <w:sz w:val="18"/>
          <w:szCs w:val="18"/>
          <w:lang w:val="en-US"/>
        </w:rPr>
      </w:pPr>
      <w:r w:rsidRPr="00DC2E1F">
        <w:rPr>
          <w:rStyle w:val="Allmrkuseviide"/>
        </w:rPr>
        <w:footnoteRef/>
      </w:r>
      <w:r w:rsidRPr="00DC2E1F">
        <w:rPr>
          <w:sz w:val="18"/>
          <w:szCs w:val="18"/>
        </w:rPr>
        <w:tab/>
      </w:r>
      <w:r w:rsidR="00287F1C" w:rsidRPr="00DC2E1F">
        <w:rPr>
          <w:sz w:val="18"/>
          <w:szCs w:val="18"/>
        </w:rPr>
        <w:t>See</w:t>
      </w:r>
      <w:r w:rsidRPr="00DC2E1F">
        <w:rPr>
          <w:sz w:val="18"/>
          <w:szCs w:val="18"/>
        </w:rPr>
        <w:t xml:space="preserve"> ECORYS online survey and OECD evidence review</w:t>
      </w:r>
      <w:r w:rsidR="009435A1" w:rsidRPr="00DC2E1F">
        <w:rPr>
          <w:sz w:val="18"/>
          <w:szCs w:val="18"/>
          <w:lang w:val="en-IE"/>
        </w:rPr>
        <w:t>.</w:t>
      </w:r>
      <w:r w:rsidR="00650A9F" w:rsidRPr="00DC2E1F">
        <w:rPr>
          <w:sz w:val="18"/>
          <w:szCs w:val="18"/>
          <w:lang w:val="en-IE"/>
        </w:rPr>
        <w:t xml:space="preserve"> Also, t</w:t>
      </w:r>
      <w:r w:rsidR="000F325A" w:rsidRPr="00DC2E1F">
        <w:rPr>
          <w:sz w:val="18"/>
          <w:szCs w:val="18"/>
          <w:lang w:val="en-IE"/>
        </w:rPr>
        <w:t>he Council Recommendation on a European framework to attract and retain research, innovation and entrepreneurial talents in Europe</w:t>
      </w:r>
      <w:r w:rsidR="00A16F7A" w:rsidRPr="00DC2E1F">
        <w:rPr>
          <w:sz w:val="18"/>
          <w:szCs w:val="18"/>
          <w:lang w:val="en-IE"/>
        </w:rPr>
        <w:t xml:space="preserve"> (as adopted in 2023)</w:t>
      </w:r>
      <w:r w:rsidR="000F325A" w:rsidRPr="00DC2E1F">
        <w:rPr>
          <w:sz w:val="18"/>
          <w:szCs w:val="18"/>
          <w:lang w:val="en-IE"/>
        </w:rPr>
        <w:t xml:space="preserve"> recommends assessment and reward systems that recognise a diversity of outputs, activities and practices. This includes teaching, academia-industry cooperation, and interaction with society.</w:t>
      </w:r>
    </w:p>
  </w:footnote>
  <w:footnote w:id="14">
    <w:p w14:paraId="796EE050" w14:textId="77777777" w:rsidR="000F325A" w:rsidRPr="00DC2E1F" w:rsidRDefault="000F325A"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sz w:val="18"/>
          <w:szCs w:val="18"/>
          <w:lang w:val="en-IE"/>
        </w:rPr>
        <w:t xml:space="preserve">Research conducted by ECORYS in 2023. </w:t>
      </w:r>
    </w:p>
  </w:footnote>
  <w:footnote w:id="15">
    <w:p w14:paraId="2DA06210" w14:textId="77777777" w:rsidR="005D543C" w:rsidRPr="00DC2E1F" w:rsidRDefault="005D543C" w:rsidP="00CE17B7">
      <w:pPr>
        <w:pStyle w:val="Allmrkusetekst"/>
        <w:ind w:left="284" w:hanging="284"/>
        <w:rPr>
          <w:sz w:val="18"/>
          <w:szCs w:val="18"/>
          <w:lang w:val="en-IE"/>
        </w:rPr>
      </w:pPr>
      <w:r w:rsidRPr="00DC2E1F">
        <w:rPr>
          <w:rStyle w:val="Allmrkuseviide"/>
        </w:rPr>
        <w:footnoteRef/>
      </w:r>
      <w:r w:rsidR="00BC7320" w:rsidRPr="00DC2E1F">
        <w:rPr>
          <w:sz w:val="18"/>
          <w:szCs w:val="18"/>
        </w:rPr>
        <w:tab/>
      </w:r>
      <w:hyperlink r:id="rId3" w:history="1">
        <w:r w:rsidR="00336D4D" w:rsidRPr="00DC2E1F">
          <w:rPr>
            <w:rStyle w:val="Hperlink"/>
            <w:color w:val="0068B6"/>
            <w:sz w:val="18"/>
            <w:szCs w:val="18"/>
            <w:shd w:val="clear" w:color="auto" w:fill="FFFFFF"/>
            <w:lang w:val="en-IE"/>
          </w:rPr>
          <w:t>https://doi.org/10.1787/ea9d3108-en</w:t>
        </w:r>
      </w:hyperlink>
      <w:r w:rsidR="00BF4832" w:rsidRPr="00DC2E1F">
        <w:rPr>
          <w:sz w:val="18"/>
          <w:szCs w:val="18"/>
          <w:lang w:val="en-IE"/>
        </w:rPr>
        <w:t>.</w:t>
      </w:r>
    </w:p>
  </w:footnote>
  <w:footnote w:id="16">
    <w:p w14:paraId="7CDEC32B" w14:textId="77777777" w:rsidR="00AD6278" w:rsidRPr="00DC2E1F" w:rsidRDefault="00AD6278" w:rsidP="00CE17B7">
      <w:pPr>
        <w:pStyle w:val="Allmrkusetekst"/>
        <w:ind w:left="284" w:hanging="295"/>
        <w:rPr>
          <w:sz w:val="18"/>
          <w:szCs w:val="18"/>
          <w:lang w:val="en-IE"/>
        </w:rPr>
      </w:pPr>
      <w:r w:rsidRPr="00DC2E1F">
        <w:rPr>
          <w:rStyle w:val="Allmrkuseviide"/>
        </w:rPr>
        <w:footnoteRef/>
      </w:r>
      <w:r w:rsidR="00BC7320" w:rsidRPr="00DC2E1F">
        <w:rPr>
          <w:sz w:val="18"/>
          <w:szCs w:val="18"/>
        </w:rPr>
        <w:tab/>
      </w:r>
      <w:r w:rsidR="00F00836" w:rsidRPr="00DC2E1F">
        <w:rPr>
          <w:sz w:val="18"/>
          <w:szCs w:val="18"/>
        </w:rPr>
        <w:t>5</w:t>
      </w:r>
      <w:r w:rsidR="005F32C4" w:rsidRPr="00DC2E1F">
        <w:rPr>
          <w:sz w:val="18"/>
          <w:szCs w:val="18"/>
        </w:rPr>
        <w:t xml:space="preserve"> Member States</w:t>
      </w:r>
      <w:r w:rsidR="00BB41FE" w:rsidRPr="00DC2E1F">
        <w:rPr>
          <w:sz w:val="18"/>
          <w:szCs w:val="18"/>
        </w:rPr>
        <w:t xml:space="preserve"> </w:t>
      </w:r>
      <w:r w:rsidRPr="00DC2E1F">
        <w:rPr>
          <w:sz w:val="18"/>
          <w:szCs w:val="18"/>
        </w:rPr>
        <w:t>have</w:t>
      </w:r>
      <w:r w:rsidR="005F32C4" w:rsidRPr="00DC2E1F">
        <w:rPr>
          <w:sz w:val="18"/>
          <w:szCs w:val="18"/>
        </w:rPr>
        <w:t xml:space="preserve"> </w:t>
      </w:r>
      <w:r w:rsidRPr="00DC2E1F">
        <w:rPr>
          <w:sz w:val="18"/>
          <w:szCs w:val="18"/>
        </w:rPr>
        <w:t>regulatory obligation</w:t>
      </w:r>
      <w:r w:rsidR="00AD6207" w:rsidRPr="00DC2E1F">
        <w:rPr>
          <w:sz w:val="18"/>
          <w:szCs w:val="18"/>
        </w:rPr>
        <w:t>s</w:t>
      </w:r>
      <w:r w:rsidRPr="00DC2E1F">
        <w:rPr>
          <w:sz w:val="18"/>
          <w:szCs w:val="18"/>
        </w:rPr>
        <w:t xml:space="preserve"> </w:t>
      </w:r>
      <w:r w:rsidR="00BB41FE" w:rsidRPr="00DC2E1F">
        <w:rPr>
          <w:sz w:val="18"/>
          <w:szCs w:val="18"/>
        </w:rPr>
        <w:t xml:space="preserve">to improve </w:t>
      </w:r>
      <w:r w:rsidRPr="00DC2E1F">
        <w:rPr>
          <w:sz w:val="18"/>
          <w:szCs w:val="18"/>
        </w:rPr>
        <w:t xml:space="preserve">teaching: </w:t>
      </w:r>
      <w:r w:rsidR="00AD6207" w:rsidRPr="00DC2E1F">
        <w:rPr>
          <w:sz w:val="18"/>
          <w:szCs w:val="18"/>
        </w:rPr>
        <w:t>DK</w:t>
      </w:r>
      <w:r w:rsidR="00E62CA3" w:rsidRPr="00DC2E1F">
        <w:rPr>
          <w:sz w:val="18"/>
          <w:szCs w:val="18"/>
        </w:rPr>
        <w:t xml:space="preserve">, </w:t>
      </w:r>
      <w:r w:rsidR="00AD6207" w:rsidRPr="00DC2E1F">
        <w:rPr>
          <w:sz w:val="18"/>
          <w:szCs w:val="18"/>
        </w:rPr>
        <w:t>EE</w:t>
      </w:r>
      <w:r w:rsidR="00E62CA3" w:rsidRPr="00DC2E1F">
        <w:rPr>
          <w:sz w:val="18"/>
          <w:szCs w:val="18"/>
        </w:rPr>
        <w:t xml:space="preserve">, </w:t>
      </w:r>
      <w:r w:rsidR="00AD6207" w:rsidRPr="00DC2E1F">
        <w:rPr>
          <w:sz w:val="18"/>
          <w:szCs w:val="18"/>
        </w:rPr>
        <w:t>FR</w:t>
      </w:r>
      <w:r w:rsidR="00E62CA3" w:rsidRPr="00DC2E1F">
        <w:rPr>
          <w:sz w:val="18"/>
          <w:szCs w:val="18"/>
        </w:rPr>
        <w:t xml:space="preserve">, </w:t>
      </w:r>
      <w:r w:rsidR="00AD6207" w:rsidRPr="00DC2E1F">
        <w:rPr>
          <w:sz w:val="18"/>
          <w:szCs w:val="18"/>
        </w:rPr>
        <w:t>LT</w:t>
      </w:r>
      <w:r w:rsidR="005F32C4" w:rsidRPr="00DC2E1F">
        <w:rPr>
          <w:sz w:val="18"/>
          <w:szCs w:val="18"/>
        </w:rPr>
        <w:t xml:space="preserve"> and</w:t>
      </w:r>
      <w:r w:rsidR="00E62CA3" w:rsidRPr="00DC2E1F">
        <w:rPr>
          <w:sz w:val="18"/>
          <w:szCs w:val="18"/>
        </w:rPr>
        <w:t xml:space="preserve"> </w:t>
      </w:r>
      <w:r w:rsidR="00AD6207" w:rsidRPr="00DC2E1F">
        <w:rPr>
          <w:sz w:val="18"/>
          <w:szCs w:val="18"/>
        </w:rPr>
        <w:t>LV</w:t>
      </w:r>
      <w:r w:rsidR="00E62CA3" w:rsidRPr="00DC2E1F">
        <w:rPr>
          <w:sz w:val="18"/>
          <w:szCs w:val="18"/>
        </w:rPr>
        <w:t>. See Zhang, T. (2022). National Developments in Learning and Teaching in Europe. Brussels: European University Association.</w:t>
      </w:r>
    </w:p>
  </w:footnote>
  <w:footnote w:id="17">
    <w:p w14:paraId="08F25424" w14:textId="77777777" w:rsidR="005D543C" w:rsidRPr="00DC2E1F" w:rsidRDefault="005D543C" w:rsidP="00CE17B7">
      <w:pPr>
        <w:pStyle w:val="Allmrkusetekst"/>
        <w:ind w:left="284" w:hanging="295"/>
        <w:rPr>
          <w:sz w:val="18"/>
          <w:szCs w:val="18"/>
          <w:highlight w:val="yellow"/>
          <w:lang w:val="en-IE"/>
        </w:rPr>
      </w:pPr>
      <w:r w:rsidRPr="00DC2E1F">
        <w:rPr>
          <w:rStyle w:val="Allmrkuseviide"/>
        </w:rPr>
        <w:footnoteRef/>
      </w:r>
      <w:r w:rsidR="00BC7320" w:rsidRPr="00DC2E1F">
        <w:rPr>
          <w:sz w:val="18"/>
          <w:szCs w:val="18"/>
        </w:rPr>
        <w:tab/>
      </w:r>
      <w:hyperlink r:id="rId4" w:history="1">
        <w:r w:rsidR="00522982" w:rsidRPr="00DC2E1F">
          <w:rPr>
            <w:rStyle w:val="Hperlink"/>
            <w:color w:val="0068B6"/>
            <w:sz w:val="18"/>
            <w:szCs w:val="18"/>
            <w:shd w:val="clear" w:color="auto" w:fill="FFFFFF"/>
            <w:lang w:val="en-IE"/>
          </w:rPr>
          <w:t>https://doi.org/10.1787/ea9d3108-en</w:t>
        </w:r>
      </w:hyperlink>
      <w:r w:rsidR="00BF4832" w:rsidRPr="00DC2E1F">
        <w:rPr>
          <w:sz w:val="18"/>
          <w:szCs w:val="18"/>
          <w:lang w:val="en-IE"/>
        </w:rPr>
        <w:t>.</w:t>
      </w:r>
    </w:p>
  </w:footnote>
  <w:footnote w:id="18">
    <w:p w14:paraId="5392A4F2" w14:textId="77777777" w:rsidR="00F33BB4" w:rsidRPr="00DC2E1F" w:rsidRDefault="00F33BB4" w:rsidP="00F33BB4">
      <w:pPr>
        <w:pStyle w:val="Allmrkusetekst"/>
        <w:ind w:left="284" w:hanging="295"/>
        <w:rPr>
          <w:sz w:val="18"/>
          <w:szCs w:val="18"/>
          <w:lang w:val="en-IE"/>
        </w:rPr>
      </w:pPr>
      <w:r w:rsidRPr="00DC2E1F">
        <w:rPr>
          <w:rStyle w:val="Allmrkuseviide"/>
        </w:rPr>
        <w:footnoteRef/>
      </w:r>
      <w:r w:rsidRPr="00DC2E1F">
        <w:rPr>
          <w:sz w:val="18"/>
          <w:szCs w:val="18"/>
        </w:rPr>
        <w:tab/>
      </w:r>
      <w:r w:rsidRPr="00DC2E1F">
        <w:rPr>
          <w:rFonts w:eastAsia="Times New Roman"/>
          <w:sz w:val="18"/>
          <w:szCs w:val="18"/>
          <w:lang w:eastAsia="pt-PT"/>
        </w:rPr>
        <w:t>Evidence indicates that in some systems, about a quarter of staff may be employed on short-term contracts</w:t>
      </w:r>
      <w:r w:rsidR="000C25E0" w:rsidRPr="00DC2E1F">
        <w:rPr>
          <w:rFonts w:eastAsia="Times New Roman"/>
          <w:sz w:val="18"/>
          <w:szCs w:val="18"/>
          <w:lang w:eastAsia="pt-PT"/>
        </w:rPr>
        <w:t xml:space="preserve">: </w:t>
      </w:r>
      <w:r w:rsidRPr="00DC2E1F">
        <w:rPr>
          <w:sz w:val="18"/>
          <w:szCs w:val="18"/>
        </w:rPr>
        <w:t xml:space="preserve"> </w:t>
      </w:r>
      <w:hyperlink r:id="rId5" w:history="1">
        <w:r w:rsidRPr="00DC2E1F">
          <w:rPr>
            <w:rStyle w:val="Hperlink"/>
            <w:color w:val="0068B6"/>
            <w:sz w:val="18"/>
            <w:szCs w:val="18"/>
            <w:shd w:val="clear" w:color="auto" w:fill="FFFFFF"/>
            <w:lang w:val="en-IE"/>
          </w:rPr>
          <w:t>https://doi.org/10.1787/ea9d3108-en</w:t>
        </w:r>
      </w:hyperlink>
      <w:r w:rsidRPr="00DC2E1F">
        <w:rPr>
          <w:sz w:val="18"/>
          <w:szCs w:val="18"/>
        </w:rPr>
        <w:t>.</w:t>
      </w:r>
    </w:p>
  </w:footnote>
  <w:footnote w:id="19">
    <w:p w14:paraId="3BCEB6C6" w14:textId="77777777" w:rsidR="001D322F" w:rsidRPr="00DC2E1F" w:rsidRDefault="001D322F" w:rsidP="00CE17B7">
      <w:pPr>
        <w:pStyle w:val="Allmrkusetekst"/>
        <w:ind w:left="284" w:hanging="295"/>
        <w:rPr>
          <w:sz w:val="18"/>
          <w:szCs w:val="18"/>
        </w:rPr>
      </w:pPr>
      <w:r w:rsidRPr="00DC2E1F">
        <w:rPr>
          <w:rStyle w:val="Allmrkuseviide"/>
        </w:rPr>
        <w:footnoteRef/>
      </w:r>
      <w:r w:rsidRPr="00DC2E1F">
        <w:rPr>
          <w:sz w:val="18"/>
          <w:szCs w:val="18"/>
        </w:rPr>
        <w:tab/>
      </w:r>
      <w:r w:rsidRPr="00DC2E1F">
        <w:rPr>
          <w:sz w:val="18"/>
          <w:szCs w:val="18"/>
          <w:lang w:val="en-IE"/>
        </w:rPr>
        <w:t xml:space="preserve">Karran, T. </w:t>
      </w:r>
      <w:r w:rsidR="00D75EBC" w:rsidRPr="00DC2E1F">
        <w:rPr>
          <w:sz w:val="18"/>
          <w:szCs w:val="18"/>
          <w:lang w:val="en-IE"/>
        </w:rPr>
        <w:t>&amp;</w:t>
      </w:r>
      <w:r w:rsidRPr="00DC2E1F">
        <w:rPr>
          <w:sz w:val="18"/>
          <w:szCs w:val="18"/>
          <w:lang w:val="en-IE"/>
        </w:rPr>
        <w:t xml:space="preserve"> K. Beiter (2020), ‘Academic freedom in the European Union: legalities and realities’, in Bergan, S., T. Gallagher and I. Harkavy (eds.), </w:t>
      </w:r>
      <w:r w:rsidR="00125848" w:rsidRPr="00DC2E1F">
        <w:rPr>
          <w:i/>
          <w:iCs/>
          <w:sz w:val="18"/>
          <w:szCs w:val="18"/>
          <w:lang w:val="en-IE"/>
        </w:rPr>
        <w:t>Academic Freedom, Institutional Autonomy and the Future of Democracy,</w:t>
      </w:r>
      <w:r w:rsidRPr="00DC2E1F">
        <w:rPr>
          <w:sz w:val="18"/>
          <w:szCs w:val="18"/>
          <w:lang w:val="en-IE"/>
        </w:rPr>
        <w:t xml:space="preserve"> </w:t>
      </w:r>
      <w:r w:rsidR="001476F9" w:rsidRPr="00DC2E1F">
        <w:rPr>
          <w:sz w:val="18"/>
          <w:szCs w:val="18"/>
          <w:lang w:val="en-IE"/>
        </w:rPr>
        <w:t>UN</w:t>
      </w:r>
      <w:r w:rsidRPr="00DC2E1F">
        <w:rPr>
          <w:sz w:val="18"/>
          <w:szCs w:val="18"/>
          <w:lang w:val="en-IE"/>
        </w:rPr>
        <w:t xml:space="preserve"> Educational, Scientific and Cultural Organization, Council of Europe Publishing, Strasbourg.</w:t>
      </w:r>
    </w:p>
  </w:footnote>
  <w:footnote w:id="20">
    <w:p w14:paraId="0446A220" w14:textId="77777777" w:rsidR="00E75A88" w:rsidRPr="00DC2E1F" w:rsidRDefault="00E75A88" w:rsidP="00CE17B7">
      <w:pPr>
        <w:pStyle w:val="Allmrkusetekst"/>
        <w:ind w:left="284" w:hanging="284"/>
        <w:rPr>
          <w:sz w:val="18"/>
          <w:szCs w:val="18"/>
          <w:lang w:val="en-IE"/>
        </w:rPr>
      </w:pPr>
      <w:r w:rsidRPr="00164E83">
        <w:rPr>
          <w:rStyle w:val="Allmrkuseviide"/>
        </w:rPr>
        <w:footnoteRef/>
      </w:r>
      <w:r w:rsidR="00A70F5B" w:rsidRPr="00DC2E1F">
        <w:rPr>
          <w:sz w:val="18"/>
          <w:szCs w:val="18"/>
        </w:rPr>
        <w:tab/>
      </w:r>
      <w:hyperlink r:id="rId6" w:history="1">
        <w:r w:rsidRPr="00DC2E1F">
          <w:rPr>
            <w:rStyle w:val="cf01"/>
            <w:rFonts w:ascii="Times New Roman" w:hAnsi="Times New Roman" w:cs="Times New Roman"/>
            <w:color w:val="0000FF"/>
            <w:u w:val="single"/>
          </w:rPr>
          <w:t>Community engagement in higher education: trends, practices and policies - NESET (nesetweb.eu)</w:t>
        </w:r>
      </w:hyperlink>
      <w:r w:rsidR="00404C03" w:rsidRPr="00DC2E1F">
        <w:rPr>
          <w:rStyle w:val="cf01"/>
          <w:rFonts w:ascii="Times New Roman" w:hAnsi="Times New Roman" w:cs="Times New Roman"/>
          <w:color w:val="0000FF"/>
          <w:u w:val="single"/>
        </w:rPr>
        <w:t>.</w:t>
      </w:r>
    </w:p>
  </w:footnote>
  <w:footnote w:id="21">
    <w:p w14:paraId="12677B1B" w14:textId="19D27F7F" w:rsidR="00DC2E1F" w:rsidRPr="00B918A1" w:rsidRDefault="00DC2E1F" w:rsidP="00B918A1">
      <w:pPr>
        <w:pStyle w:val="Allmrkusetekst"/>
        <w:ind w:left="284" w:hanging="284"/>
        <w:rPr>
          <w:sz w:val="18"/>
          <w:lang w:val="en-IE"/>
        </w:rPr>
      </w:pPr>
      <w:r>
        <w:rPr>
          <w:rStyle w:val="Allmrkuseviide"/>
        </w:rPr>
        <w:footnoteRef/>
      </w:r>
      <w:r>
        <w:rPr>
          <w:sz w:val="18"/>
          <w:szCs w:val="18"/>
        </w:rPr>
        <w:tab/>
      </w:r>
      <w:r>
        <w:rPr>
          <w:sz w:val="18"/>
        </w:rPr>
        <w:t xml:space="preserve">European Disability Expertize, The employment of persons with disabilities, </w:t>
      </w:r>
      <w:hyperlink r:id="rId7" w:history="1">
        <w:r>
          <w:rPr>
            <w:rStyle w:val="Hperlink"/>
            <w:sz w:val="18"/>
          </w:rPr>
          <w:t>Reports - Employment, Social Affairs &amp; Inclusion - European Commission (europa.eu)</w:t>
        </w:r>
      </w:hyperlink>
    </w:p>
  </w:footnote>
  <w:footnote w:id="22">
    <w:p w14:paraId="24C65116" w14:textId="77777777" w:rsidR="003F6A15" w:rsidRPr="00DC2E1F" w:rsidRDefault="003F6A15" w:rsidP="00CE17B7">
      <w:pPr>
        <w:pStyle w:val="Allmrkusetekst"/>
        <w:ind w:left="284" w:hanging="284"/>
        <w:rPr>
          <w:sz w:val="18"/>
          <w:szCs w:val="18"/>
          <w:lang w:val="en-IE"/>
        </w:rPr>
      </w:pPr>
      <w:r w:rsidRPr="00164E83">
        <w:rPr>
          <w:rStyle w:val="Allmrkuseviide"/>
        </w:rPr>
        <w:footnoteRef/>
      </w:r>
      <w:r w:rsidRPr="00DC2E1F">
        <w:rPr>
          <w:sz w:val="18"/>
          <w:szCs w:val="18"/>
        </w:rPr>
        <w:tab/>
      </w:r>
      <w:r w:rsidRPr="00DC2E1F">
        <w:rPr>
          <w:sz w:val="18"/>
          <w:szCs w:val="18"/>
          <w:lang w:val="en-IE"/>
        </w:rPr>
        <w:t>European Commission, Directorate-General for Research and Innovation, She</w:t>
      </w:r>
      <w:r w:rsidR="000E0F90" w:rsidRPr="00DC2E1F">
        <w:rPr>
          <w:color w:val="FF0000"/>
          <w:sz w:val="18"/>
          <w:szCs w:val="18"/>
          <w:lang w:val="en-IE"/>
        </w:rPr>
        <w:t xml:space="preserve"> </w:t>
      </w:r>
      <w:r w:rsidRPr="00DC2E1F">
        <w:rPr>
          <w:sz w:val="18"/>
          <w:szCs w:val="18"/>
          <w:lang w:val="en-IE"/>
        </w:rPr>
        <w:t>figures 2021 – Gender in research and innovation – Statistics and indicators, Publications Office, 2021, </w:t>
      </w:r>
      <w:hyperlink r:id="rId8" w:tgtFrame="_blank" w:history="1">
        <w:r w:rsidRPr="00DC2E1F">
          <w:rPr>
            <w:sz w:val="18"/>
            <w:szCs w:val="18"/>
            <w:lang w:val="en-IE"/>
          </w:rPr>
          <w:t>https://data.europa.eu/doi/10.2777/06090</w:t>
        </w:r>
      </w:hyperlink>
      <w:r w:rsidR="006C5FDA" w:rsidRPr="00DC2E1F">
        <w:rPr>
          <w:sz w:val="18"/>
          <w:szCs w:val="18"/>
          <w:lang w:val="en-IE"/>
        </w:rPr>
        <w:t>.</w:t>
      </w:r>
    </w:p>
  </w:footnote>
  <w:footnote w:id="23">
    <w:p w14:paraId="672179F4" w14:textId="77777777" w:rsidR="00F01795" w:rsidRPr="00DC2E1F" w:rsidRDefault="00F01795" w:rsidP="00CE17B7">
      <w:pPr>
        <w:pStyle w:val="Allmrkusetekst"/>
        <w:ind w:left="284" w:hanging="284"/>
        <w:rPr>
          <w:sz w:val="18"/>
          <w:szCs w:val="18"/>
        </w:rPr>
      </w:pPr>
      <w:r w:rsidRPr="00DC2E1F">
        <w:rPr>
          <w:rStyle w:val="Allmrkuseviide"/>
        </w:rPr>
        <w:footnoteRef/>
      </w:r>
      <w:r w:rsidR="008108CB" w:rsidRPr="00DC2E1F">
        <w:rPr>
          <w:sz w:val="18"/>
          <w:szCs w:val="18"/>
        </w:rPr>
        <w:tab/>
      </w:r>
      <w:r w:rsidR="0062171D" w:rsidRPr="00DC2E1F">
        <w:rPr>
          <w:sz w:val="18"/>
          <w:szCs w:val="18"/>
          <w:lang w:val="en-IE"/>
        </w:rPr>
        <w:t>See</w:t>
      </w:r>
      <w:r w:rsidRPr="00DC2E1F">
        <w:rPr>
          <w:sz w:val="18"/>
          <w:szCs w:val="18"/>
          <w:lang w:val="en-IE"/>
        </w:rPr>
        <w:t xml:space="preserve"> </w:t>
      </w:r>
      <w:r w:rsidR="00125848" w:rsidRPr="00DC2E1F">
        <w:rPr>
          <w:sz w:val="18"/>
          <w:szCs w:val="18"/>
        </w:rPr>
        <w:t>Communication from the Commission to the European Parliament, the Council, the European Economic and Social Committee and the Committee of the Regions on a European strategy for universities, 18 January 2022, COM(2022)16 final.</w:t>
      </w:r>
      <w:r w:rsidRPr="00DC2E1F">
        <w:rPr>
          <w:sz w:val="18"/>
          <w:szCs w:val="18"/>
          <w:shd w:val="clear" w:color="auto" w:fill="FFFFFF"/>
          <w:lang w:val="en-IE"/>
        </w:rPr>
        <w:t xml:space="preserve"> </w:t>
      </w:r>
      <w:bookmarkStart w:id="9" w:name="_Hlk161325417"/>
      <w:r w:rsidR="00125848" w:rsidRPr="00DC2E1F">
        <w:rPr>
          <w:sz w:val="18"/>
          <w:szCs w:val="18"/>
          <w:shd w:val="clear" w:color="auto" w:fill="FFFFFF"/>
          <w:lang w:val="en-IE"/>
        </w:rPr>
        <w:t>T</w:t>
      </w:r>
      <w:r w:rsidRPr="00DC2E1F">
        <w:rPr>
          <w:sz w:val="18"/>
          <w:szCs w:val="18"/>
          <w:shd w:val="clear" w:color="auto" w:fill="FFFFFF"/>
          <w:lang w:val="en-IE"/>
        </w:rPr>
        <w:t xml:space="preserve">he Commission </w:t>
      </w:r>
      <w:r w:rsidR="00234B0A" w:rsidRPr="00DC2E1F">
        <w:rPr>
          <w:sz w:val="18"/>
          <w:szCs w:val="18"/>
          <w:shd w:val="clear" w:color="auto" w:fill="FFFFFF"/>
          <w:lang w:val="en-IE"/>
        </w:rPr>
        <w:t>is to</w:t>
      </w:r>
      <w:r w:rsidRPr="00DC2E1F">
        <w:rPr>
          <w:sz w:val="18"/>
          <w:szCs w:val="18"/>
          <w:shd w:val="clear" w:color="auto" w:fill="FFFFFF"/>
          <w:lang w:val="en-IE"/>
        </w:rPr>
        <w:t xml:space="preserve"> set up </w:t>
      </w:r>
      <w:r w:rsidR="007B6BC9" w:rsidRPr="00DC2E1F">
        <w:rPr>
          <w:sz w:val="18"/>
          <w:szCs w:val="18"/>
          <w:shd w:val="clear" w:color="auto" w:fill="FFFFFF"/>
          <w:lang w:val="en-IE"/>
        </w:rPr>
        <w:t>the European Higher Education Sector Observatory</w:t>
      </w:r>
      <w:r w:rsidRPr="00DC2E1F">
        <w:rPr>
          <w:sz w:val="18"/>
          <w:szCs w:val="18"/>
          <w:shd w:val="clear" w:color="auto" w:fill="FFFFFF"/>
          <w:lang w:val="en-IE"/>
        </w:rPr>
        <w:t>. This Observatory combines the best of the current EU data tools and capacities</w:t>
      </w:r>
      <w:r w:rsidRPr="00DC2E1F">
        <w:rPr>
          <w:rStyle w:val="footnotereference"/>
          <w:sz w:val="18"/>
          <w:szCs w:val="18"/>
          <w:shd w:val="clear" w:color="auto" w:fill="FFFFFF"/>
          <w:lang w:val="en-IE"/>
        </w:rPr>
        <w:t> </w:t>
      </w:r>
      <w:r w:rsidRPr="00DC2E1F">
        <w:rPr>
          <w:sz w:val="18"/>
          <w:szCs w:val="18"/>
          <w:shd w:val="clear" w:color="auto" w:fill="FFFFFF"/>
          <w:lang w:val="en-IE"/>
        </w:rPr>
        <w:t>in one single place, while further enhancing their use.</w:t>
      </w:r>
      <w:bookmarkEnd w:id="9"/>
      <w:r w:rsidRPr="00DC2E1F">
        <w:rPr>
          <w:sz w:val="18"/>
          <w:szCs w:val="18"/>
          <w:shd w:val="clear" w:color="auto" w:fill="FFFFFF"/>
          <w:lang w:val="en-IE"/>
        </w:rPr>
        <w:t xml:space="preserve"> </w:t>
      </w:r>
    </w:p>
  </w:footnote>
  <w:footnote w:id="24">
    <w:p w14:paraId="0A5071FE" w14:textId="77777777" w:rsidR="00564995" w:rsidRPr="00DC2E1F" w:rsidRDefault="00564995"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sz w:val="18"/>
          <w:szCs w:val="18"/>
          <w:lang w:val="en-IE"/>
        </w:rPr>
        <w:t xml:space="preserve">The Europe Work Programme 2023-2024, </w:t>
      </w:r>
      <w:r w:rsidR="00D75EBC" w:rsidRPr="00DC2E1F">
        <w:rPr>
          <w:sz w:val="18"/>
          <w:szCs w:val="18"/>
          <w:lang w:val="en-IE"/>
        </w:rPr>
        <w:t>‘</w:t>
      </w:r>
      <w:r w:rsidRPr="00DC2E1F">
        <w:rPr>
          <w:sz w:val="18"/>
          <w:szCs w:val="18"/>
          <w:lang w:val="en-IE"/>
        </w:rPr>
        <w:t>Widening participation and strengthening the European Research Area</w:t>
      </w:r>
      <w:r w:rsidR="00D75EBC" w:rsidRPr="00DC2E1F">
        <w:rPr>
          <w:sz w:val="18"/>
          <w:szCs w:val="18"/>
          <w:lang w:val="en-IE"/>
        </w:rPr>
        <w:t>’</w:t>
      </w:r>
      <w:r w:rsidRPr="00DC2E1F">
        <w:rPr>
          <w:sz w:val="18"/>
          <w:szCs w:val="18"/>
          <w:lang w:val="en-IE"/>
        </w:rPr>
        <w:t>.</w:t>
      </w:r>
    </w:p>
  </w:footnote>
  <w:footnote w:id="25">
    <w:p w14:paraId="4B31C369" w14:textId="77777777" w:rsidR="002D74E6" w:rsidRPr="00DC2E1F" w:rsidRDefault="002D74E6" w:rsidP="00CE17B7">
      <w:pPr>
        <w:pStyle w:val="Allmrkusetekst"/>
        <w:ind w:left="284" w:hanging="284"/>
      </w:pPr>
      <w:r w:rsidRPr="00DC2E1F">
        <w:rPr>
          <w:rStyle w:val="Allmrkuseviide"/>
        </w:rPr>
        <w:footnoteRef/>
      </w:r>
      <w:r w:rsidRPr="00DC2E1F">
        <w:rPr>
          <w:sz w:val="18"/>
          <w:szCs w:val="18"/>
        </w:rPr>
        <w:tab/>
      </w:r>
      <w:r w:rsidR="00125848" w:rsidRPr="00DC2E1F">
        <w:rPr>
          <w:sz w:val="18"/>
          <w:szCs w:val="18"/>
        </w:rPr>
        <w:t>Communication from the Commission to the European Parliament, the Council, the European Economic and Social Committee and the Committee of the Regions on a European strategy for universities, 18 January 2022, COM(2022) 16 final.</w:t>
      </w:r>
    </w:p>
  </w:footnote>
  <w:footnote w:id="26">
    <w:p w14:paraId="4F227E71" w14:textId="77777777" w:rsidR="009A2F20" w:rsidRPr="00DC2E1F" w:rsidRDefault="009A2F20" w:rsidP="00CE17B7">
      <w:pPr>
        <w:pStyle w:val="Allmrkusetekst"/>
        <w:ind w:left="284" w:hanging="284"/>
        <w:rPr>
          <w:sz w:val="18"/>
          <w:szCs w:val="18"/>
          <w:lang w:val="en-IE"/>
        </w:rPr>
      </w:pPr>
      <w:r w:rsidRPr="00DC2E1F">
        <w:rPr>
          <w:rStyle w:val="Allmrkuseviide"/>
        </w:rPr>
        <w:footnoteRef/>
      </w:r>
      <w:r w:rsidRPr="00DC2E1F">
        <w:rPr>
          <w:sz w:val="18"/>
          <w:szCs w:val="18"/>
        </w:rPr>
        <w:tab/>
      </w:r>
      <w:r w:rsidRPr="00DC2E1F">
        <w:rPr>
          <w:sz w:val="18"/>
          <w:szCs w:val="18"/>
          <w:lang w:val="en-IE"/>
        </w:rPr>
        <w:t xml:space="preserve">Council conclusions on a European strategy empowering higher education institutions for the future of Europe </w:t>
      </w:r>
      <w:r w:rsidR="00F729D9" w:rsidRPr="00DC2E1F">
        <w:rPr>
          <w:sz w:val="18"/>
          <w:szCs w:val="18"/>
          <w:lang w:val="en-IE"/>
        </w:rPr>
        <w:t>(</w:t>
      </w:r>
      <w:r w:rsidRPr="00DC2E1F">
        <w:rPr>
          <w:sz w:val="18"/>
          <w:szCs w:val="18"/>
          <w:lang w:val="en-IE"/>
        </w:rPr>
        <w:t>OJ C 167, 21.4.2022, p. 9</w:t>
      </w:r>
      <w:r w:rsidR="00F729D9" w:rsidRPr="00DC2E1F">
        <w:rPr>
          <w:sz w:val="18"/>
          <w:szCs w:val="18"/>
          <w:lang w:val="en-IE"/>
        </w:rPr>
        <w:t>).</w:t>
      </w:r>
    </w:p>
  </w:footnote>
  <w:footnote w:id="27">
    <w:p w14:paraId="79599315" w14:textId="77777777" w:rsidR="00D8074F" w:rsidRPr="00DC2E1F" w:rsidRDefault="00D8074F" w:rsidP="00953555">
      <w:pPr>
        <w:pStyle w:val="Allmrkusetekst"/>
        <w:ind w:left="284" w:hanging="284"/>
      </w:pPr>
      <w:r w:rsidRPr="00DC2E1F">
        <w:rPr>
          <w:rStyle w:val="Allmrkuseviide"/>
        </w:rPr>
        <w:footnoteRef/>
      </w:r>
      <w:r w:rsidR="008108CB" w:rsidRPr="00DC2E1F">
        <w:tab/>
      </w:r>
      <w:r w:rsidRPr="00DC2E1F">
        <w:rPr>
          <w:sz w:val="18"/>
          <w:szCs w:val="18"/>
        </w:rPr>
        <w:t>Council Recommendation of 18 December 2023 on a European framework to attract and retain research, innovation and entrepreneurial talents in Europe (OJ C, C/2023/1640, 29.12.2023, p. 1).</w:t>
      </w:r>
    </w:p>
  </w:footnote>
  <w:footnote w:id="28">
    <w:p w14:paraId="7C6C8B41" w14:textId="77777777" w:rsidR="00BF6F0E" w:rsidRPr="00DC2E1F" w:rsidRDefault="00BF6F0E" w:rsidP="00CE17B7">
      <w:pPr>
        <w:pStyle w:val="Allmrkusetekst"/>
        <w:ind w:left="284" w:hanging="284"/>
        <w:rPr>
          <w:sz w:val="18"/>
          <w:szCs w:val="18"/>
          <w:lang w:val="en-IE"/>
        </w:rPr>
      </w:pPr>
      <w:r w:rsidRPr="00DC2E1F">
        <w:rPr>
          <w:rStyle w:val="Allmrkuseviide"/>
        </w:rPr>
        <w:footnoteRef/>
      </w:r>
      <w:r w:rsidRPr="00DC2E1F">
        <w:rPr>
          <w:sz w:val="18"/>
          <w:szCs w:val="18"/>
          <w:lang w:val="en-IE"/>
        </w:rPr>
        <w:tab/>
      </w:r>
      <w:r w:rsidRPr="00DC2E1F">
        <w:rPr>
          <w:sz w:val="18"/>
          <w:szCs w:val="18"/>
        </w:rPr>
        <w:t>https://www.consilium.europa.eu/media/49980/st09138-en21.pdf</w:t>
      </w:r>
    </w:p>
  </w:footnote>
  <w:footnote w:id="29">
    <w:p w14:paraId="6B273BEA" w14:textId="77777777" w:rsidR="00BF6F0E" w:rsidRPr="00DC2E1F" w:rsidRDefault="00BF6F0E" w:rsidP="00CE17B7">
      <w:pPr>
        <w:pStyle w:val="Allmrkusetekst"/>
        <w:ind w:left="284" w:hanging="284"/>
        <w:rPr>
          <w:sz w:val="18"/>
          <w:szCs w:val="18"/>
          <w:lang w:val="en-IE"/>
        </w:rPr>
      </w:pPr>
      <w:r w:rsidRPr="00DC2E1F">
        <w:rPr>
          <w:rStyle w:val="Allmrkuseviide"/>
        </w:rPr>
        <w:footnoteRef/>
      </w:r>
      <w:r w:rsidR="008108CB" w:rsidRPr="00DC2E1F">
        <w:rPr>
          <w:sz w:val="18"/>
          <w:szCs w:val="18"/>
          <w:lang w:val="en-IE"/>
        </w:rPr>
        <w:tab/>
      </w:r>
      <w:hyperlink r:id="rId9" w:history="1">
        <w:r w:rsidRPr="00DC2E1F">
          <w:rPr>
            <w:rStyle w:val="Hperlink"/>
            <w:sz w:val="18"/>
            <w:szCs w:val="18"/>
            <w:lang w:val="en-IE"/>
          </w:rPr>
          <w:t>https://data.consilium.europa.eu/doc/document/ST-14308-2021-INIT/en/pdf</w:t>
        </w:r>
      </w:hyperlink>
      <w:r w:rsidRPr="00DC2E1F">
        <w:rPr>
          <w:sz w:val="18"/>
          <w:szCs w:val="18"/>
          <w:lang w:val="en-IE"/>
        </w:rPr>
        <w:t>. See action</w:t>
      </w:r>
      <w:r w:rsidR="001D6DB6" w:rsidRPr="00DC2E1F">
        <w:rPr>
          <w:sz w:val="18"/>
          <w:szCs w:val="18"/>
          <w:lang w:val="en-IE"/>
        </w:rPr>
        <w:t>s</w:t>
      </w:r>
      <w:r w:rsidRPr="00DC2E1F">
        <w:rPr>
          <w:sz w:val="18"/>
          <w:szCs w:val="18"/>
          <w:lang w:val="en-IE"/>
        </w:rPr>
        <w:t xml:space="preserve"> 4 ’Promote attractive and sustainable research careers, balanced talent circulation and international, transdisciplinary and inter-sectoral mobility across the ERA’; 3 ’Advance towards the reform of the Assessment System for research, researchers and institutions to improve their quality, performance and impact’; and 5 ’Promote gender equality and foster inclusiveness, taking note of the Ljubljana declaration’.</w:t>
      </w:r>
    </w:p>
  </w:footnote>
  <w:footnote w:id="30">
    <w:p w14:paraId="5B327139" w14:textId="77777777" w:rsidR="00954732" w:rsidRPr="00DC2E1F" w:rsidRDefault="00954732" w:rsidP="00CE17B7">
      <w:pPr>
        <w:pStyle w:val="Allmrkusetekst"/>
        <w:ind w:left="284" w:hanging="284"/>
        <w:rPr>
          <w:sz w:val="18"/>
          <w:szCs w:val="18"/>
          <w:lang w:val="en-IE"/>
        </w:rPr>
      </w:pPr>
      <w:r w:rsidRPr="00DC2E1F">
        <w:rPr>
          <w:rStyle w:val="Allmrkuseviide"/>
        </w:rPr>
        <w:footnoteRef/>
      </w:r>
      <w:r w:rsidR="003B48EA" w:rsidRPr="00DC2E1F">
        <w:rPr>
          <w:sz w:val="18"/>
          <w:szCs w:val="18"/>
          <w:lang w:val="en-IE"/>
        </w:rPr>
        <w:tab/>
      </w:r>
      <w:r w:rsidR="00125848" w:rsidRPr="00DC2E1F">
        <w:rPr>
          <w:sz w:val="18"/>
          <w:szCs w:val="18"/>
        </w:rPr>
        <w:t>Proposal for a Council recommendation ‘Europe on the Move’ – learning mobility opportunities for everyone, 15 November 2023, COM(2023) 719 final.</w:t>
      </w:r>
    </w:p>
  </w:footnote>
  <w:footnote w:id="31">
    <w:p w14:paraId="392E833B" w14:textId="77777777" w:rsidR="004B7FC5" w:rsidRPr="00DC2E1F" w:rsidRDefault="004B7FC5" w:rsidP="00CE17B7">
      <w:pPr>
        <w:pStyle w:val="Allmrkusetekst"/>
        <w:ind w:left="284" w:hanging="284"/>
        <w:rPr>
          <w:sz w:val="18"/>
          <w:szCs w:val="18"/>
          <w:lang w:val="en-IE"/>
        </w:rPr>
      </w:pPr>
      <w:r w:rsidRPr="00DC2E1F">
        <w:rPr>
          <w:rStyle w:val="Allmrkuseviide"/>
        </w:rPr>
        <w:footnoteRef/>
      </w:r>
      <w:r w:rsidR="003B48EA" w:rsidRPr="00DC2E1F">
        <w:rPr>
          <w:sz w:val="18"/>
          <w:szCs w:val="18"/>
        </w:rPr>
        <w:tab/>
      </w:r>
      <w:r w:rsidRPr="00DC2E1F">
        <w:rPr>
          <w:sz w:val="18"/>
          <w:szCs w:val="18"/>
        </w:rPr>
        <w:t xml:space="preserve">Council Resolution on a strategic framework for European cooperation in education and training towards the European Education Area and beyond </w:t>
      </w:r>
      <w:r w:rsidR="00B81E10" w:rsidRPr="00DC2E1F">
        <w:rPr>
          <w:sz w:val="18"/>
          <w:szCs w:val="18"/>
        </w:rPr>
        <w:t>(</w:t>
      </w:r>
      <w:r w:rsidRPr="00DC2E1F">
        <w:rPr>
          <w:sz w:val="18"/>
          <w:szCs w:val="18"/>
        </w:rPr>
        <w:t>OJ</w:t>
      </w:r>
      <w:r w:rsidR="00297E28" w:rsidRPr="00DC2E1F">
        <w:rPr>
          <w:sz w:val="18"/>
          <w:szCs w:val="18"/>
        </w:rPr>
        <w:t xml:space="preserve"> </w:t>
      </w:r>
      <w:r w:rsidRPr="00DC2E1F">
        <w:rPr>
          <w:sz w:val="18"/>
          <w:szCs w:val="18"/>
        </w:rPr>
        <w:t>C</w:t>
      </w:r>
      <w:r w:rsidR="00297E28" w:rsidRPr="00DC2E1F">
        <w:rPr>
          <w:sz w:val="18"/>
          <w:szCs w:val="18"/>
        </w:rPr>
        <w:t xml:space="preserve"> </w:t>
      </w:r>
      <w:r w:rsidRPr="00DC2E1F">
        <w:rPr>
          <w:sz w:val="18"/>
          <w:szCs w:val="18"/>
        </w:rPr>
        <w:t>66, 26.2.2021</w:t>
      </w:r>
      <w:r w:rsidR="00B81E10" w:rsidRPr="00DC2E1F">
        <w:rPr>
          <w:sz w:val="18"/>
          <w:szCs w:val="18"/>
        </w:rPr>
        <w:t>)</w:t>
      </w:r>
      <w:r w:rsidR="00A16F7A" w:rsidRPr="00DC2E1F">
        <w:rPr>
          <w:sz w:val="18"/>
          <w:szCs w:val="18"/>
        </w:rPr>
        <w:t>.</w:t>
      </w:r>
    </w:p>
  </w:footnote>
  <w:footnote w:id="32">
    <w:p w14:paraId="486D3B03" w14:textId="77777777" w:rsidR="00D241DA" w:rsidRPr="00DC2E1F" w:rsidRDefault="00D241DA" w:rsidP="00CE17B7">
      <w:pPr>
        <w:pStyle w:val="Allmrkusetekst"/>
        <w:ind w:left="284" w:hanging="284"/>
        <w:rPr>
          <w:lang w:val="en-IE"/>
        </w:rPr>
      </w:pPr>
      <w:r w:rsidRPr="00DC2E1F">
        <w:rPr>
          <w:rStyle w:val="Allmrkuseviide"/>
        </w:rPr>
        <w:footnoteRef/>
      </w:r>
      <w:r w:rsidR="003B48EA" w:rsidRPr="00DC2E1F">
        <w:rPr>
          <w:sz w:val="18"/>
          <w:szCs w:val="18"/>
        </w:rPr>
        <w:tab/>
      </w:r>
      <w:r w:rsidRPr="00DC2E1F">
        <w:rPr>
          <w:sz w:val="18"/>
          <w:szCs w:val="18"/>
        </w:rPr>
        <w:t xml:space="preserve">Decision (EU) 2023/936 of the European Parliament and of the Council of 10 May 2023 on a European Year of Skills </w:t>
      </w:r>
      <w:r w:rsidR="00F729D9" w:rsidRPr="00DC2E1F">
        <w:rPr>
          <w:sz w:val="18"/>
          <w:szCs w:val="18"/>
        </w:rPr>
        <w:t>(</w:t>
      </w:r>
      <w:r w:rsidRPr="00DC2E1F">
        <w:rPr>
          <w:sz w:val="18"/>
          <w:szCs w:val="18"/>
        </w:rPr>
        <w:t>OJ L 125, 11.5.2023, p. 1</w:t>
      </w:r>
      <w:r w:rsidR="00F729D9" w:rsidRPr="00DC2E1F">
        <w:rPr>
          <w:sz w:val="18"/>
          <w:szCs w:val="18"/>
        </w:rPr>
        <w:t>)</w:t>
      </w:r>
      <w:r w:rsidR="00404C03" w:rsidRPr="00DC2E1F">
        <w:rPr>
          <w:sz w:val="18"/>
          <w:szCs w:val="18"/>
        </w:rPr>
        <w:t>.</w:t>
      </w:r>
    </w:p>
  </w:footnote>
  <w:footnote w:id="33">
    <w:p w14:paraId="217DADFF" w14:textId="77777777" w:rsidR="00EE7AFA" w:rsidRPr="00DC2E1F" w:rsidRDefault="00EE7AFA" w:rsidP="00EB34AB">
      <w:pPr>
        <w:pStyle w:val="Allmrkusetekst"/>
        <w:ind w:left="284" w:hanging="284"/>
        <w:rPr>
          <w:lang w:val="en-IE"/>
        </w:rPr>
      </w:pPr>
      <w:r w:rsidRPr="00DC2E1F">
        <w:rPr>
          <w:rStyle w:val="Allmrkuseviide"/>
        </w:rPr>
        <w:footnoteRef/>
      </w:r>
      <w:r w:rsidR="008108CB" w:rsidRPr="00DC2E1F">
        <w:rPr>
          <w:sz w:val="18"/>
          <w:szCs w:val="18"/>
        </w:rPr>
        <w:tab/>
      </w:r>
      <w:r w:rsidRPr="00DC2E1F">
        <w:rPr>
          <w:sz w:val="18"/>
          <w:szCs w:val="18"/>
          <w:lang w:val="en-IE"/>
        </w:rPr>
        <w:t>Council Recommendation of 23 November 2023 on improving the provision of digital skills and competences in education and training (OJ C, C/2024/1030, 23.1.2024).</w:t>
      </w:r>
    </w:p>
  </w:footnote>
  <w:footnote w:id="34">
    <w:p w14:paraId="6D88C32F" w14:textId="77777777" w:rsidR="00774E17" w:rsidRPr="00DC2E1F" w:rsidRDefault="00774E17" w:rsidP="00CE17B7">
      <w:pPr>
        <w:pStyle w:val="Allmrkusetekst"/>
        <w:ind w:left="284" w:hanging="284"/>
        <w:rPr>
          <w:sz w:val="18"/>
          <w:szCs w:val="18"/>
        </w:rPr>
      </w:pPr>
      <w:r w:rsidRPr="00DC2E1F">
        <w:rPr>
          <w:rStyle w:val="Allmrkuseviide"/>
        </w:rPr>
        <w:footnoteRef/>
      </w:r>
      <w:r w:rsidRPr="00DC2E1F">
        <w:rPr>
          <w:sz w:val="18"/>
          <w:szCs w:val="18"/>
        </w:rPr>
        <w:tab/>
        <w:t xml:space="preserve">Interinstitutional Proclamation on the European Pillar of Social Rights </w:t>
      </w:r>
      <w:r w:rsidR="00125848" w:rsidRPr="00DC2E1F">
        <w:rPr>
          <w:sz w:val="18"/>
          <w:szCs w:val="18"/>
        </w:rPr>
        <w:t>(</w:t>
      </w:r>
      <w:r w:rsidRPr="00DC2E1F">
        <w:rPr>
          <w:sz w:val="18"/>
          <w:szCs w:val="18"/>
        </w:rPr>
        <w:t>OJ C 428, 13.12.2017, p. 10</w:t>
      </w:r>
      <w:r w:rsidR="00125848">
        <w:rPr>
          <w:rStyle w:val="Rhutus"/>
          <w:i w:val="0"/>
          <w:color w:val="333333"/>
          <w:sz w:val="18"/>
          <w:shd w:val="clear" w:color="auto" w:fill="FFFFFF"/>
        </w:rPr>
        <w:t>).</w:t>
      </w:r>
    </w:p>
  </w:footnote>
  <w:footnote w:id="35">
    <w:p w14:paraId="32B4E114" w14:textId="77777777" w:rsidR="00E41117" w:rsidRPr="00DC2E1F" w:rsidRDefault="00E41117"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sz w:val="18"/>
          <w:szCs w:val="18"/>
          <w:lang w:val="en-IE"/>
        </w:rPr>
        <w:t xml:space="preserve">Council Recommendation of 8 November 2019 on access to social protection for workers and the self-employed </w:t>
      </w:r>
      <w:r w:rsidR="00DB35E6" w:rsidRPr="00DC2E1F">
        <w:rPr>
          <w:sz w:val="18"/>
          <w:szCs w:val="18"/>
          <w:lang w:val="en-IE"/>
        </w:rPr>
        <w:t>(</w:t>
      </w:r>
      <w:r w:rsidRPr="00DC2E1F">
        <w:rPr>
          <w:sz w:val="18"/>
          <w:szCs w:val="18"/>
          <w:lang w:val="en-IE"/>
        </w:rPr>
        <w:t>OJ C 387, 15.11.2019, p. 1</w:t>
      </w:r>
      <w:r w:rsidR="00DB35E6" w:rsidRPr="00DC2E1F">
        <w:rPr>
          <w:sz w:val="18"/>
          <w:szCs w:val="18"/>
          <w:lang w:val="en-IE"/>
        </w:rPr>
        <w:t>)</w:t>
      </w:r>
      <w:r w:rsidRPr="00DC2E1F">
        <w:rPr>
          <w:sz w:val="18"/>
          <w:szCs w:val="18"/>
        </w:rPr>
        <w:t>.</w:t>
      </w:r>
    </w:p>
  </w:footnote>
  <w:footnote w:id="36">
    <w:p w14:paraId="602B919B" w14:textId="77777777" w:rsidR="00250F97" w:rsidRPr="00DC2E1F" w:rsidRDefault="00250F97" w:rsidP="00CE17B7">
      <w:pPr>
        <w:pStyle w:val="Allmrkusetekst"/>
        <w:ind w:left="284" w:hanging="284"/>
        <w:rPr>
          <w:sz w:val="18"/>
          <w:szCs w:val="18"/>
        </w:rPr>
      </w:pPr>
      <w:r w:rsidRPr="00DC2E1F">
        <w:rPr>
          <w:rStyle w:val="Allmrkuseviide"/>
        </w:rPr>
        <w:footnoteRef/>
      </w:r>
      <w:r w:rsidRPr="00DC2E1F">
        <w:rPr>
          <w:sz w:val="18"/>
          <w:szCs w:val="18"/>
        </w:rPr>
        <w:tab/>
      </w:r>
      <w:r w:rsidRPr="00DC2E1F">
        <w:rPr>
          <w:b/>
          <w:bCs/>
          <w:sz w:val="18"/>
          <w:szCs w:val="18"/>
        </w:rPr>
        <w:t>EUA</w:t>
      </w:r>
      <w:r w:rsidRPr="00DC2E1F">
        <w:rPr>
          <w:sz w:val="18"/>
          <w:szCs w:val="18"/>
        </w:rPr>
        <w:t>: E</w:t>
      </w:r>
      <w:r w:rsidRPr="00DC2E1F">
        <w:rPr>
          <w:rFonts w:eastAsiaTheme="minorEastAsia"/>
          <w:sz w:val="18"/>
          <w:szCs w:val="18"/>
        </w:rPr>
        <w:t xml:space="preserve">uropean University Association; </w:t>
      </w:r>
      <w:r w:rsidRPr="00DC2E1F">
        <w:rPr>
          <w:rFonts w:eastAsiaTheme="minorEastAsia"/>
          <w:b/>
          <w:bCs/>
          <w:sz w:val="18"/>
          <w:szCs w:val="18"/>
        </w:rPr>
        <w:t>YERUN</w:t>
      </w:r>
      <w:r w:rsidRPr="00DC2E1F">
        <w:rPr>
          <w:rFonts w:eastAsiaTheme="minorEastAsia"/>
          <w:sz w:val="18"/>
          <w:szCs w:val="18"/>
        </w:rPr>
        <w:t xml:space="preserve">: Young European Research Universities Network; </w:t>
      </w:r>
      <w:r w:rsidRPr="00DC2E1F">
        <w:rPr>
          <w:rFonts w:eastAsiaTheme="minorEastAsia"/>
          <w:b/>
          <w:bCs/>
          <w:sz w:val="18"/>
          <w:szCs w:val="18"/>
        </w:rPr>
        <w:t>LERU</w:t>
      </w:r>
      <w:r w:rsidRPr="00DC2E1F">
        <w:rPr>
          <w:rFonts w:eastAsiaTheme="minorEastAsia"/>
          <w:sz w:val="18"/>
          <w:szCs w:val="18"/>
        </w:rPr>
        <w:t xml:space="preserve">: League of European Research Universities; </w:t>
      </w:r>
      <w:r w:rsidRPr="00DC2E1F">
        <w:rPr>
          <w:rFonts w:eastAsiaTheme="minorEastAsia"/>
          <w:b/>
          <w:bCs/>
          <w:sz w:val="18"/>
          <w:szCs w:val="18"/>
        </w:rPr>
        <w:t>CESAER</w:t>
      </w:r>
      <w:r w:rsidRPr="00DC2E1F">
        <w:rPr>
          <w:rFonts w:eastAsiaTheme="minorEastAsia"/>
          <w:sz w:val="18"/>
          <w:szCs w:val="18"/>
        </w:rPr>
        <w:t xml:space="preserve">: Conference of European Schools for Advanced Engineering Education and Research; </w:t>
      </w:r>
      <w:r w:rsidRPr="00DC2E1F">
        <w:rPr>
          <w:rFonts w:eastAsiaTheme="minorEastAsia"/>
          <w:b/>
          <w:bCs/>
          <w:sz w:val="18"/>
          <w:szCs w:val="18"/>
        </w:rPr>
        <w:t>The Guild</w:t>
      </w:r>
      <w:r w:rsidRPr="00DC2E1F">
        <w:rPr>
          <w:rFonts w:eastAsiaTheme="minorEastAsia"/>
          <w:sz w:val="18"/>
          <w:szCs w:val="18"/>
        </w:rPr>
        <w:t xml:space="preserve">: The Guild of European Research-Intensive Universities; </w:t>
      </w:r>
      <w:r w:rsidRPr="00DC2E1F">
        <w:rPr>
          <w:rFonts w:eastAsiaTheme="minorEastAsia"/>
          <w:b/>
          <w:bCs/>
          <w:sz w:val="18"/>
          <w:szCs w:val="18"/>
        </w:rPr>
        <w:t>EURASHE</w:t>
      </w:r>
      <w:r w:rsidRPr="00DC2E1F">
        <w:rPr>
          <w:rFonts w:eastAsiaTheme="minorEastAsia"/>
          <w:sz w:val="18"/>
          <w:szCs w:val="18"/>
        </w:rPr>
        <w:t>: European Association of Institutions in Higher Education</w:t>
      </w:r>
      <w:r w:rsidR="00B64B2F" w:rsidRPr="00DC2E1F">
        <w:rPr>
          <w:rFonts w:eastAsiaTheme="minorEastAsia"/>
          <w:sz w:val="18"/>
          <w:szCs w:val="18"/>
        </w:rPr>
        <w:t>.</w:t>
      </w:r>
    </w:p>
  </w:footnote>
  <w:footnote w:id="37">
    <w:p w14:paraId="027DE33E" w14:textId="77777777" w:rsidR="005952D9" w:rsidRPr="00DC2E1F" w:rsidRDefault="005952D9" w:rsidP="00CE17B7">
      <w:pPr>
        <w:pStyle w:val="Allmrkusetekst"/>
        <w:ind w:left="284" w:hanging="284"/>
        <w:rPr>
          <w:sz w:val="18"/>
          <w:szCs w:val="18"/>
        </w:rPr>
      </w:pPr>
      <w:r w:rsidRPr="00DC2E1F">
        <w:rPr>
          <w:rStyle w:val="Allmrkuseviide"/>
        </w:rPr>
        <w:footnoteRef/>
      </w:r>
      <w:r w:rsidR="00BC7320" w:rsidRPr="00DC2E1F">
        <w:rPr>
          <w:sz w:val="18"/>
          <w:szCs w:val="18"/>
        </w:rPr>
        <w:tab/>
      </w:r>
      <w:hyperlink r:id="rId10" w:history="1">
        <w:r w:rsidRPr="00DC2E1F">
          <w:rPr>
            <w:rStyle w:val="Hperlink"/>
            <w:sz w:val="18"/>
            <w:szCs w:val="18"/>
          </w:rPr>
          <w:t>Attractive and sustainable careers in higher education (europa.eu)</w:t>
        </w:r>
      </w:hyperlink>
      <w:r w:rsidR="006C5FDA" w:rsidRPr="00DC2E1F">
        <w:rPr>
          <w:rStyle w:val="Hperlink"/>
          <w:sz w:val="18"/>
          <w:szCs w:val="18"/>
        </w:rPr>
        <w:t>.</w:t>
      </w:r>
    </w:p>
  </w:footnote>
  <w:footnote w:id="38">
    <w:p w14:paraId="328385A2" w14:textId="77777777" w:rsidR="00733F22" w:rsidRPr="00DC2E1F" w:rsidRDefault="00733F22"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Pr="00DC2E1F">
        <w:rPr>
          <w:rFonts w:eastAsiaTheme="minorEastAsia"/>
          <w:sz w:val="18"/>
          <w:szCs w:val="18"/>
          <w:lang w:val="en-IE" w:eastAsia="en-GB"/>
        </w:rPr>
        <w:t>European Trade Union Committee for Education.</w:t>
      </w:r>
    </w:p>
  </w:footnote>
  <w:footnote w:id="39">
    <w:p w14:paraId="7AAA75F6" w14:textId="77777777" w:rsidR="004C4B3A" w:rsidRPr="00DC2E1F" w:rsidRDefault="004C4B3A"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00997A48" w:rsidRPr="00DC2E1F">
        <w:rPr>
          <w:sz w:val="18"/>
          <w:szCs w:val="18"/>
          <w:lang w:val="en-IE"/>
        </w:rPr>
        <w:t>Research conducted by ECORYS in 2023.</w:t>
      </w:r>
    </w:p>
  </w:footnote>
  <w:footnote w:id="40">
    <w:p w14:paraId="787C549A" w14:textId="77777777" w:rsidR="004C4B3A" w:rsidRPr="00DC2E1F" w:rsidRDefault="004C4B3A" w:rsidP="00CE17B7">
      <w:pPr>
        <w:pStyle w:val="Allmrkusetekst"/>
        <w:ind w:left="284" w:hanging="284"/>
        <w:rPr>
          <w:sz w:val="18"/>
          <w:szCs w:val="18"/>
          <w:lang w:val="en-IE"/>
        </w:rPr>
      </w:pPr>
      <w:r w:rsidRPr="00DC2E1F">
        <w:rPr>
          <w:rStyle w:val="Allmrkuseviide"/>
        </w:rPr>
        <w:footnoteRef/>
      </w:r>
      <w:r w:rsidR="008108CB" w:rsidRPr="00DC2E1F">
        <w:rPr>
          <w:sz w:val="18"/>
          <w:szCs w:val="18"/>
        </w:rPr>
        <w:tab/>
      </w:r>
      <w:hyperlink r:id="rId11" w:history="1">
        <w:r w:rsidR="00997A48" w:rsidRPr="00DC2E1F">
          <w:rPr>
            <w:rStyle w:val="Hperlink"/>
            <w:color w:val="0068B6"/>
            <w:sz w:val="18"/>
            <w:szCs w:val="18"/>
            <w:shd w:val="clear" w:color="auto" w:fill="FFFFFF"/>
            <w:lang w:val="en-IE"/>
          </w:rPr>
          <w:t>https://doi.org/10.1787/ea9d3108-en</w:t>
        </w:r>
      </w:hyperlink>
      <w:r w:rsidR="006C5FDA" w:rsidRPr="00DC2E1F">
        <w:rPr>
          <w:rStyle w:val="Hperlink"/>
          <w:color w:val="0068B6"/>
          <w:sz w:val="18"/>
          <w:szCs w:val="18"/>
          <w:shd w:val="clear" w:color="auto" w:fill="FFFFFF"/>
          <w:lang w:val="en-IE"/>
        </w:rPr>
        <w:t>.</w:t>
      </w:r>
    </w:p>
  </w:footnote>
  <w:footnote w:id="41">
    <w:p w14:paraId="54C68A0F" w14:textId="77777777" w:rsidR="004C4B3A" w:rsidRPr="00DC2E1F" w:rsidRDefault="004C4B3A" w:rsidP="00CE17B7">
      <w:pPr>
        <w:pStyle w:val="Allmrkusetekst"/>
        <w:ind w:left="284" w:hanging="284"/>
        <w:rPr>
          <w:sz w:val="18"/>
          <w:szCs w:val="18"/>
          <w:lang w:val="en-IE"/>
        </w:rPr>
      </w:pPr>
      <w:r w:rsidRPr="00DC2E1F">
        <w:rPr>
          <w:rStyle w:val="Allmrkuseviide"/>
        </w:rPr>
        <w:footnoteRef/>
      </w:r>
      <w:r w:rsidR="008108CB" w:rsidRPr="00DC2E1F">
        <w:rPr>
          <w:sz w:val="18"/>
          <w:szCs w:val="18"/>
        </w:rPr>
        <w:tab/>
      </w:r>
      <w:hyperlink r:id="rId12" w:history="1">
        <w:r w:rsidR="00CB5275" w:rsidRPr="00DC2E1F">
          <w:rPr>
            <w:rStyle w:val="Hperlink"/>
            <w:rFonts w:eastAsia="Times New Roman"/>
            <w:sz w:val="18"/>
            <w:szCs w:val="18"/>
          </w:rPr>
          <w:t>https://nesetweb.eu/en/resources/library/student-and-staff-mental-wellbeing-in-european-higher-education-institutions/</w:t>
        </w:r>
      </w:hyperlink>
      <w:r w:rsidR="006C5FDA" w:rsidRPr="00DC2E1F">
        <w:rPr>
          <w:rStyle w:val="Hperlink"/>
          <w:rFonts w:eastAsia="Times New Roman"/>
          <w:sz w:val="18"/>
          <w:szCs w:val="18"/>
        </w:rPr>
        <w:t>.</w:t>
      </w:r>
    </w:p>
  </w:footnote>
  <w:footnote w:id="42">
    <w:p w14:paraId="5FAB53DD" w14:textId="77777777" w:rsidR="00AB26B1" w:rsidRPr="00DC2E1F" w:rsidRDefault="00AB26B1" w:rsidP="00CE17B7">
      <w:pPr>
        <w:spacing w:before="0" w:after="0"/>
        <w:ind w:left="284" w:hanging="284"/>
        <w:rPr>
          <w:sz w:val="18"/>
          <w:szCs w:val="18"/>
        </w:rPr>
      </w:pPr>
      <w:r w:rsidRPr="00DC2E1F">
        <w:rPr>
          <w:rStyle w:val="Allmrkuseviide"/>
        </w:rPr>
        <w:footnoteRef/>
      </w:r>
      <w:r w:rsidR="00BC7320" w:rsidRPr="00DC2E1F">
        <w:rPr>
          <w:sz w:val="18"/>
          <w:szCs w:val="18"/>
        </w:rPr>
        <w:tab/>
      </w:r>
      <w:r w:rsidR="00FD40FD" w:rsidRPr="00DC2E1F">
        <w:rPr>
          <w:sz w:val="18"/>
          <w:szCs w:val="18"/>
        </w:rPr>
        <w:t>‘</w:t>
      </w:r>
      <w:r w:rsidRPr="00DC2E1F">
        <w:rPr>
          <w:sz w:val="18"/>
          <w:szCs w:val="18"/>
        </w:rPr>
        <w:t>Leadership and Organisation for Teaching and Learning at European Universities</w:t>
      </w:r>
      <w:r w:rsidR="00FD40FD" w:rsidRPr="00DC2E1F">
        <w:rPr>
          <w:sz w:val="18"/>
          <w:szCs w:val="18"/>
        </w:rPr>
        <w:t>’</w:t>
      </w:r>
      <w:r w:rsidRPr="00DC2E1F">
        <w:rPr>
          <w:sz w:val="18"/>
          <w:szCs w:val="18"/>
        </w:rPr>
        <w:t xml:space="preserve">: </w:t>
      </w:r>
      <w:hyperlink r:id="rId13" w:history="1">
        <w:r w:rsidRPr="00DC2E1F">
          <w:rPr>
            <w:rStyle w:val="Hperlink"/>
            <w:rFonts w:eastAsia="Times New Roman"/>
            <w:sz w:val="18"/>
            <w:szCs w:val="18"/>
          </w:rPr>
          <w:t>LOTUS (eua.eu)</w:t>
        </w:r>
      </w:hyperlink>
      <w:r w:rsidR="00404C03" w:rsidRPr="00DC2E1F">
        <w:rPr>
          <w:rStyle w:val="Hperlink"/>
          <w:rFonts w:eastAsia="Times New Roman"/>
          <w:sz w:val="18"/>
          <w:szCs w:val="18"/>
        </w:rPr>
        <w:t>.</w:t>
      </w:r>
    </w:p>
  </w:footnote>
  <w:footnote w:id="43">
    <w:p w14:paraId="4ABD2D23" w14:textId="77777777" w:rsidR="3B9FFA42" w:rsidRPr="00DC2E1F" w:rsidRDefault="3B9FFA42" w:rsidP="00CE17B7">
      <w:pPr>
        <w:spacing w:before="0" w:after="0"/>
        <w:ind w:left="284" w:hanging="284"/>
        <w:rPr>
          <w:sz w:val="18"/>
          <w:szCs w:val="18"/>
        </w:rPr>
      </w:pPr>
      <w:r w:rsidRPr="00DC2E1F">
        <w:rPr>
          <w:rStyle w:val="Allmrkuseviide"/>
        </w:rPr>
        <w:footnoteRef/>
      </w:r>
      <w:r w:rsidR="00BC7320" w:rsidRPr="00DC2E1F">
        <w:rPr>
          <w:sz w:val="18"/>
          <w:szCs w:val="18"/>
        </w:rPr>
        <w:tab/>
      </w:r>
      <w:hyperlink r:id="rId14" w:history="1">
        <w:r w:rsidR="00572D72" w:rsidRPr="00DC2E1F">
          <w:rPr>
            <w:rStyle w:val="Hperlink"/>
            <w:sz w:val="18"/>
            <w:szCs w:val="18"/>
          </w:rPr>
          <w:t>Home - European Network on Teaching Excellence</w:t>
        </w:r>
      </w:hyperlink>
      <w:r w:rsidR="00572D72" w:rsidRPr="00DC2E1F">
        <w:rPr>
          <w:sz w:val="18"/>
          <w:szCs w:val="18"/>
        </w:rPr>
        <w:t>.</w:t>
      </w:r>
    </w:p>
  </w:footnote>
  <w:footnote w:id="44">
    <w:p w14:paraId="5679681D" w14:textId="77777777" w:rsidR="00125A21" w:rsidRPr="00DC2E1F" w:rsidRDefault="00125A21" w:rsidP="00CE17B7">
      <w:pPr>
        <w:pStyle w:val="Allmrkusetekst"/>
        <w:ind w:left="284" w:hanging="284"/>
        <w:rPr>
          <w:sz w:val="18"/>
          <w:szCs w:val="18"/>
        </w:rPr>
      </w:pPr>
      <w:r w:rsidRPr="00DC2E1F">
        <w:rPr>
          <w:rStyle w:val="Allmrkuseviide"/>
        </w:rPr>
        <w:footnoteRef/>
      </w:r>
      <w:r w:rsidR="00BC7320" w:rsidRPr="00DC2E1F">
        <w:rPr>
          <w:sz w:val="18"/>
          <w:szCs w:val="18"/>
        </w:rPr>
        <w:tab/>
      </w:r>
      <w:r w:rsidRPr="00DC2E1F">
        <w:rPr>
          <w:sz w:val="18"/>
          <w:szCs w:val="18"/>
        </w:rPr>
        <w:t xml:space="preserve">Charter of Fundamental Rights of the European Union </w:t>
      </w:r>
      <w:r w:rsidR="00DB35E6" w:rsidRPr="00DC2E1F">
        <w:rPr>
          <w:sz w:val="18"/>
          <w:szCs w:val="18"/>
        </w:rPr>
        <w:t>(</w:t>
      </w:r>
      <w:r w:rsidRPr="00DC2E1F">
        <w:rPr>
          <w:sz w:val="18"/>
          <w:szCs w:val="18"/>
        </w:rPr>
        <w:t>OJ C 326, 26.10.2012, p. 391</w:t>
      </w:r>
      <w:r w:rsidR="00DB35E6" w:rsidRPr="00DC2E1F">
        <w:rPr>
          <w:sz w:val="18"/>
          <w:szCs w:val="18"/>
        </w:rPr>
        <w:t>).</w:t>
      </w:r>
    </w:p>
  </w:footnote>
  <w:footnote w:id="45">
    <w:p w14:paraId="0A9BF68E" w14:textId="77777777" w:rsidR="00F306B4" w:rsidRPr="00DC2E1F" w:rsidRDefault="00F306B4">
      <w:pPr>
        <w:pStyle w:val="Allmrkusetekst"/>
        <w:rPr>
          <w:sz w:val="18"/>
          <w:szCs w:val="18"/>
          <w:lang w:val="en-IE"/>
        </w:rPr>
      </w:pPr>
      <w:r w:rsidRPr="00DC2E1F">
        <w:rPr>
          <w:rStyle w:val="Allmrkuseviide"/>
        </w:rPr>
        <w:footnoteRef/>
      </w:r>
      <w:r w:rsidR="008108CB" w:rsidRPr="00DC2E1F">
        <w:rPr>
          <w:sz w:val="18"/>
          <w:szCs w:val="18"/>
        </w:rPr>
        <w:tab/>
      </w:r>
      <w:r w:rsidRPr="00DC2E1F">
        <w:rPr>
          <w:sz w:val="18"/>
          <w:szCs w:val="18"/>
        </w:rPr>
        <w:t>Communication from the Commission to the European Parliament, the Council, the European Economic and Social Committee and the Committee of the Regions on a European strategy for universities, 18 January 2022, COM(2022)16 final.</w:t>
      </w:r>
    </w:p>
  </w:footnote>
  <w:footnote w:id="46">
    <w:p w14:paraId="1C4E6D25" w14:textId="77777777" w:rsidR="00077DD9" w:rsidRPr="00DC2E1F" w:rsidRDefault="00077DD9">
      <w:pPr>
        <w:pStyle w:val="Allmrkusetekst"/>
        <w:rPr>
          <w:sz w:val="18"/>
          <w:szCs w:val="18"/>
        </w:rPr>
      </w:pPr>
      <w:r w:rsidRPr="00DC2E1F">
        <w:rPr>
          <w:rStyle w:val="Allmrkuseviide"/>
        </w:rPr>
        <w:footnoteRef/>
      </w:r>
      <w:r w:rsidR="008108CB" w:rsidRPr="00DC2E1F">
        <w:rPr>
          <w:sz w:val="18"/>
          <w:szCs w:val="18"/>
        </w:rPr>
        <w:tab/>
      </w:r>
      <w:hyperlink r:id="rId15" w:history="1">
        <w:r w:rsidRPr="00DC2E1F">
          <w:rPr>
            <w:rStyle w:val="Hperlink"/>
            <w:sz w:val="18"/>
            <w:szCs w:val="18"/>
          </w:rPr>
          <w:t>The European Qualifications Framework (EQF) | Europass</w:t>
        </w:r>
      </w:hyperlink>
      <w:r w:rsidR="00BE28BC" w:rsidRPr="00DC2E1F">
        <w:rPr>
          <w:sz w:val="18"/>
          <w:szCs w:val="18"/>
        </w:rPr>
        <w:t>.</w:t>
      </w:r>
    </w:p>
  </w:footnote>
  <w:footnote w:id="47">
    <w:p w14:paraId="6F7C5A95" w14:textId="7D3949D6" w:rsidR="00B57D4A" w:rsidRPr="00B918A1" w:rsidRDefault="00B57D4A">
      <w:pPr>
        <w:pStyle w:val="Allmrkusetekst"/>
        <w:rPr>
          <w:lang w:val="en-IE"/>
        </w:rPr>
      </w:pPr>
      <w:r>
        <w:rPr>
          <w:rStyle w:val="Allmrkuseviide"/>
        </w:rPr>
        <w:footnoteRef/>
      </w:r>
      <w:r>
        <w:tab/>
      </w:r>
      <w:r>
        <w:rPr>
          <w:sz w:val="18"/>
          <w:szCs w:val="18"/>
          <w:lang w:val="en-IE"/>
        </w:rPr>
        <w:t>The mission of higher education goes beyond the functions of education and research. Business engagement means establishing partnerships between higher education institutions and business, bringing mutual benefits such as access to novel technologies for companies, and access to equipment, expertise or networks beyond academia for higher education institutions. Community engagement means strengthe</w:t>
      </w:r>
      <w:r>
        <w:rPr>
          <w:sz w:val="18"/>
          <w:szCs w:val="18"/>
        </w:rPr>
        <w:t>ning democratic values and civic engagement, addressing the needs of vulnerable groups, contributing to cultural development, informing public policy and addressing large-scale social challenges.</w:t>
      </w:r>
    </w:p>
  </w:footnote>
  <w:footnote w:id="48">
    <w:p w14:paraId="07BDE9D4" w14:textId="77777777" w:rsidR="00956C1D" w:rsidRPr="00DC2E1F" w:rsidRDefault="00956C1D" w:rsidP="00CE17B7">
      <w:pPr>
        <w:pStyle w:val="Allmrkusetekst"/>
        <w:ind w:left="284" w:hanging="284"/>
        <w:rPr>
          <w:sz w:val="18"/>
          <w:szCs w:val="18"/>
          <w:lang w:val="en-IE"/>
        </w:rPr>
      </w:pPr>
      <w:r w:rsidRPr="00DC2E1F">
        <w:rPr>
          <w:rStyle w:val="Allmrkuseviide"/>
        </w:rPr>
        <w:footnoteRef/>
      </w:r>
      <w:r w:rsidR="008108CB" w:rsidRPr="00DC2E1F">
        <w:rPr>
          <w:sz w:val="18"/>
          <w:szCs w:val="18"/>
        </w:rPr>
        <w:tab/>
      </w:r>
      <w:bookmarkStart w:id="15" w:name="_Hlk161376660"/>
      <w:r w:rsidRPr="00DC2E1F">
        <w:rPr>
          <w:sz w:val="18"/>
          <w:szCs w:val="18"/>
        </w:rPr>
        <w:t>Communication from the Commission to the European Parliament, the Council, the European Economic and Social Committee and the Committee of the Regions on Harnessing talent in Europe’s regions</w:t>
      </w:r>
      <w:r w:rsidR="004E2FDB" w:rsidRPr="00DC2E1F">
        <w:rPr>
          <w:sz w:val="18"/>
          <w:szCs w:val="18"/>
        </w:rPr>
        <w:t xml:space="preserve">, 17 January 2023, </w:t>
      </w:r>
      <w:r w:rsidRPr="00DC2E1F">
        <w:rPr>
          <w:sz w:val="18"/>
          <w:szCs w:val="18"/>
        </w:rPr>
        <w:t>COM(2023) 32 final.</w:t>
      </w:r>
    </w:p>
    <w:bookmarkEnd w:id="15"/>
  </w:footnote>
  <w:footnote w:id="49">
    <w:p w14:paraId="1BC02523" w14:textId="77777777" w:rsidR="00EB5DC0" w:rsidRPr="00DC2E1F" w:rsidRDefault="00EB5DC0">
      <w:pPr>
        <w:pStyle w:val="Allmrkusetekst"/>
        <w:tabs>
          <w:tab w:val="left" w:pos="567"/>
        </w:tabs>
        <w:ind w:left="284" w:hanging="284"/>
        <w:rPr>
          <w:sz w:val="18"/>
          <w:szCs w:val="18"/>
          <w:lang w:val="en-IE"/>
        </w:rPr>
      </w:pPr>
      <w:r w:rsidRPr="00164E83">
        <w:rPr>
          <w:rStyle w:val="Allmrkuseviide"/>
        </w:rPr>
        <w:footnoteRef/>
      </w:r>
      <w:r w:rsidR="008108CB" w:rsidRPr="00DC2E1F">
        <w:rPr>
          <w:sz w:val="18"/>
          <w:szCs w:val="18"/>
        </w:rPr>
        <w:tab/>
      </w:r>
      <w:r w:rsidRPr="00DC2E1F">
        <w:rPr>
          <w:color w:val="000000"/>
          <w:sz w:val="18"/>
          <w:szCs w:val="18"/>
          <w:shd w:val="clear" w:color="auto" w:fill="FFFFFF"/>
          <w:lang w:val="en-IE"/>
        </w:rPr>
        <w:t>The European Universities Initiativ</w:t>
      </w:r>
      <w:r w:rsidRPr="00DC2E1F">
        <w:rPr>
          <w:color w:val="000000"/>
          <w:sz w:val="18"/>
          <w:szCs w:val="18"/>
          <w:lang w:val="en-IE"/>
        </w:rPr>
        <w:t>e is an</w:t>
      </w:r>
      <w:r w:rsidRPr="00DC2E1F">
        <w:rPr>
          <w:color w:val="000000"/>
          <w:sz w:val="18"/>
          <w:szCs w:val="18"/>
          <w:shd w:val="clear" w:color="auto" w:fill="FFFFFF"/>
          <w:lang w:val="en-IE"/>
        </w:rPr>
        <w:t xml:space="preserve"> EU initiative aimed at establishing alliances between higher institutions from across Europe.  It is implemented primarily through Erasmus+ funding.</w:t>
      </w:r>
    </w:p>
  </w:footnote>
  <w:footnote w:id="50">
    <w:p w14:paraId="67261C5E" w14:textId="67B266BB" w:rsidR="00DC2E1F" w:rsidRPr="00B918A1" w:rsidRDefault="00DC2E1F" w:rsidP="00B918A1">
      <w:pPr>
        <w:pStyle w:val="Allmrkusetekst"/>
        <w:ind w:left="284" w:hanging="284"/>
        <w:rPr>
          <w:sz w:val="18"/>
          <w:lang w:val="en-IE"/>
        </w:rPr>
      </w:pPr>
      <w:r>
        <w:rPr>
          <w:rStyle w:val="Allmrkuseviide"/>
        </w:rPr>
        <w:footnoteRef/>
      </w:r>
      <w:r>
        <w:rPr>
          <w:sz w:val="18"/>
          <w:szCs w:val="18"/>
        </w:rPr>
        <w:tab/>
      </w:r>
      <w:r>
        <w:rPr>
          <w:sz w:val="18"/>
        </w:rPr>
        <w:t>Including lack of reasonable accommodation measures for persons with disabilities, Employment Equality Directive, 2000/78/EC</w:t>
      </w:r>
    </w:p>
  </w:footnote>
  <w:footnote w:id="51">
    <w:p w14:paraId="355D6F41" w14:textId="77777777" w:rsidR="006050EA" w:rsidRPr="00DC2E1F" w:rsidRDefault="006050EA">
      <w:pPr>
        <w:pStyle w:val="Allmrkusetekst"/>
        <w:tabs>
          <w:tab w:val="left" w:pos="567"/>
        </w:tabs>
        <w:ind w:left="284" w:hanging="284"/>
        <w:rPr>
          <w:sz w:val="18"/>
          <w:szCs w:val="18"/>
          <w:lang w:val="en-IE"/>
        </w:rPr>
      </w:pPr>
      <w:r w:rsidRPr="00164E83">
        <w:rPr>
          <w:rStyle w:val="Allmrkuseviide"/>
        </w:rPr>
        <w:footnoteRef/>
      </w:r>
      <w:r w:rsidR="008108CB" w:rsidRPr="00DC2E1F">
        <w:rPr>
          <w:sz w:val="18"/>
          <w:szCs w:val="18"/>
        </w:rPr>
        <w:tab/>
      </w:r>
      <w:r w:rsidRPr="00DC2E1F">
        <w:rPr>
          <w:sz w:val="18"/>
          <w:szCs w:val="18"/>
          <w:lang w:val="en-IE"/>
        </w:rPr>
        <w:t>European Commission, Directorate-General for Research and Innovation, She figures 2021 – Gender in research and innovation – Statistics and indicators, Publications Office, 2021, </w:t>
      </w:r>
      <w:hyperlink r:id="rId16" w:tgtFrame="_blank" w:history="1">
        <w:r w:rsidRPr="00DC2E1F">
          <w:rPr>
            <w:sz w:val="18"/>
            <w:szCs w:val="18"/>
            <w:lang w:val="en-IE"/>
          </w:rPr>
          <w:t>https://data.europa.eu/doi/10.2777/06090</w:t>
        </w:r>
      </w:hyperlink>
      <w:r w:rsidRPr="00DC2E1F">
        <w:rPr>
          <w:sz w:val="18"/>
          <w:szCs w:val="18"/>
          <w:lang w:val="en-IE"/>
        </w:rPr>
        <w:t>.</w:t>
      </w:r>
    </w:p>
  </w:footnote>
  <w:footnote w:id="52">
    <w:p w14:paraId="5C81EBA6" w14:textId="77777777" w:rsidR="00D8074F" w:rsidRPr="00DC2E1F" w:rsidRDefault="00DB75D0" w:rsidP="00D8074F">
      <w:pPr>
        <w:pStyle w:val="Allmrkusetekst"/>
        <w:ind w:left="284" w:hanging="284"/>
        <w:rPr>
          <w:sz w:val="18"/>
          <w:szCs w:val="18"/>
        </w:rPr>
      </w:pPr>
      <w:r w:rsidRPr="00DC2E1F">
        <w:rPr>
          <w:rStyle w:val="Allmrkuseviide"/>
        </w:rPr>
        <w:footnoteRef/>
      </w:r>
      <w:r w:rsidR="008108CB" w:rsidRPr="00DC2E1F">
        <w:rPr>
          <w:sz w:val="18"/>
          <w:szCs w:val="18"/>
        </w:rPr>
        <w:tab/>
      </w:r>
      <w:r w:rsidR="00D8074F" w:rsidRPr="00DC2E1F">
        <w:rPr>
          <w:sz w:val="18"/>
          <w:szCs w:val="18"/>
        </w:rPr>
        <w:t>Council Recommendation of 18 December 2023 on a European framework to attract and retain research, innovation and entrepreneurial talents in Europe (OJ C, C/2023/1640, 29.12.2023, p. 1).</w:t>
      </w:r>
    </w:p>
    <w:p w14:paraId="7F3A33BD" w14:textId="7FFB5197" w:rsidR="00DB75D0" w:rsidRPr="00DC2E1F" w:rsidRDefault="00DB75D0">
      <w:pPr>
        <w:pStyle w:val="Allmrkusetekst"/>
        <w:ind w:left="0" w:firstLine="0"/>
        <w:rPr>
          <w:sz w:val="18"/>
          <w:szCs w:val="18"/>
        </w:rPr>
      </w:pPr>
    </w:p>
  </w:footnote>
  <w:footnote w:id="53">
    <w:p w14:paraId="76DFE433" w14:textId="77777777" w:rsidR="00E7449C" w:rsidRPr="00DC2E1F" w:rsidRDefault="00E7449C">
      <w:pPr>
        <w:pStyle w:val="Allmrkusetekst"/>
        <w:rPr>
          <w:sz w:val="18"/>
          <w:szCs w:val="18"/>
        </w:rPr>
      </w:pPr>
      <w:r w:rsidRPr="00DC2E1F">
        <w:rPr>
          <w:rStyle w:val="Allmrkuseviide"/>
        </w:rPr>
        <w:footnoteRef/>
      </w:r>
      <w:r w:rsidR="008108CB" w:rsidRPr="00DC2E1F">
        <w:rPr>
          <w:sz w:val="18"/>
          <w:szCs w:val="18"/>
        </w:rPr>
        <w:tab/>
      </w:r>
      <w:r w:rsidRPr="00DC2E1F">
        <w:rPr>
          <w:sz w:val="18"/>
          <w:szCs w:val="18"/>
        </w:rPr>
        <w:t>Communication from the Commission to the European Parliament, the Council, the European Economic and Social Committee and the Committee of the Regions on a European strategy for universities, 18 January 2022, COM(2022)16 final.</w:t>
      </w:r>
    </w:p>
  </w:footnote>
  <w:footnote w:id="54">
    <w:p w14:paraId="06427330" w14:textId="77777777" w:rsidR="00772332" w:rsidRPr="00DC2E1F" w:rsidRDefault="00772332">
      <w:pPr>
        <w:pStyle w:val="Allmrkusetekst"/>
        <w:rPr>
          <w:sz w:val="18"/>
          <w:szCs w:val="18"/>
          <w:lang w:val="en-IE"/>
        </w:rPr>
      </w:pPr>
      <w:r w:rsidRPr="00DC2E1F">
        <w:rPr>
          <w:rStyle w:val="Allmrkuseviide"/>
        </w:rPr>
        <w:footnoteRef/>
      </w:r>
      <w:r w:rsidR="008108CB" w:rsidRPr="00DC2E1F">
        <w:rPr>
          <w:sz w:val="18"/>
          <w:szCs w:val="18"/>
        </w:rPr>
        <w:tab/>
      </w:r>
      <w:r w:rsidR="00557CD6" w:rsidRPr="00DC2E1F">
        <w:rPr>
          <w:sz w:val="18"/>
          <w:szCs w:val="18"/>
          <w:lang w:val="en-IE"/>
        </w:rPr>
        <w:t>Arrangements u</w:t>
      </w:r>
      <w:r w:rsidRPr="00DC2E1F">
        <w:rPr>
          <w:sz w:val="18"/>
          <w:szCs w:val="18"/>
          <w:lang w:val="en-IE"/>
        </w:rPr>
        <w:t xml:space="preserve">nder the </w:t>
      </w:r>
      <w:r w:rsidR="004E2FDB" w:rsidRPr="00DC2E1F">
        <w:rPr>
          <w:sz w:val="18"/>
          <w:szCs w:val="18"/>
        </w:rPr>
        <w:t>Communication from the Commission to the European Parliament, the Council, the European Economic and Social Committee and the Committee of the Regions on achieving the European Education Area by 2025, 30 September 2020, COM(2020)625 final.</w:t>
      </w:r>
    </w:p>
  </w:footnote>
  <w:footnote w:id="55">
    <w:p w14:paraId="3E49B940" w14:textId="77777777" w:rsidR="00077DD9" w:rsidRPr="00DC2E1F" w:rsidRDefault="00077DD9">
      <w:pPr>
        <w:pStyle w:val="Allmrkusetekst"/>
        <w:rPr>
          <w:sz w:val="18"/>
          <w:szCs w:val="18"/>
        </w:rPr>
      </w:pPr>
      <w:r w:rsidRPr="00DC2E1F">
        <w:rPr>
          <w:rStyle w:val="Allmrkuseviide"/>
        </w:rPr>
        <w:footnoteRef/>
      </w:r>
      <w:r w:rsidR="008108CB" w:rsidRPr="00DC2E1F">
        <w:rPr>
          <w:sz w:val="18"/>
          <w:szCs w:val="18"/>
        </w:rPr>
        <w:tab/>
      </w:r>
      <w:hyperlink r:id="rId17" w:history="1">
        <w:r w:rsidRPr="00DC2E1F">
          <w:rPr>
            <w:rStyle w:val="Hperlink"/>
            <w:sz w:val="18"/>
            <w:szCs w:val="18"/>
          </w:rPr>
          <w:t>ResearchComp: The European Competence Framework for Researchers - European Commission (europa.eu)</w:t>
        </w:r>
      </w:hyperlink>
      <w:r w:rsidR="00920008" w:rsidRPr="00DC2E1F">
        <w:rPr>
          <w:sz w:val="18"/>
          <w:szCs w:val="18"/>
        </w:rPr>
        <w:t>.</w:t>
      </w:r>
    </w:p>
  </w:footnote>
  <w:footnote w:id="56">
    <w:p w14:paraId="2D54AAA9" w14:textId="78F59252" w:rsidR="00EE7AFA" w:rsidRPr="00DC2E1F" w:rsidRDefault="00EE7AFA">
      <w:pPr>
        <w:pStyle w:val="Allmrkusetekst"/>
        <w:rPr>
          <w:sz w:val="18"/>
          <w:szCs w:val="18"/>
        </w:rPr>
      </w:pPr>
      <w:r w:rsidRPr="00DC2E1F">
        <w:rPr>
          <w:rStyle w:val="Allmrkuseviide"/>
        </w:rPr>
        <w:footnoteRef/>
      </w:r>
      <w:r w:rsidR="008108CB" w:rsidRPr="00DC2E1F">
        <w:rPr>
          <w:sz w:val="18"/>
          <w:szCs w:val="18"/>
        </w:rPr>
        <w:tab/>
      </w:r>
      <w:r w:rsidRPr="00DC2E1F">
        <w:rPr>
          <w:sz w:val="18"/>
          <w:szCs w:val="18"/>
          <w:lang w:val="en-IE"/>
        </w:rPr>
        <w:t xml:space="preserve">See </w:t>
      </w:r>
      <w:r w:rsidRPr="00DC2E1F">
        <w:rPr>
          <w:sz w:val="18"/>
          <w:szCs w:val="18"/>
        </w:rPr>
        <w:t xml:space="preserve">Communication from the Commission to the European Parliament, the Council, the European Economic and Social Committee and the Committee of the Regions on a European strategy for universities, 18 January 2022, COM(2022)16 final. </w:t>
      </w:r>
      <w:r w:rsidRPr="00DC2E1F">
        <w:rPr>
          <w:sz w:val="18"/>
          <w:szCs w:val="18"/>
          <w:shd w:val="clear" w:color="auto" w:fill="FFFFFF"/>
          <w:lang w:val="en-IE"/>
        </w:rPr>
        <w:t>The Commission is</w:t>
      </w:r>
      <w:r w:rsidR="00B57D4A" w:rsidRPr="00DC2E1F">
        <w:rPr>
          <w:sz w:val="18"/>
          <w:szCs w:val="18"/>
          <w:shd w:val="clear" w:color="auto" w:fill="FFFFFF"/>
          <w:lang w:val="en-IE"/>
        </w:rPr>
        <w:t xml:space="preserve"> </w:t>
      </w:r>
      <w:r>
        <w:rPr>
          <w:sz w:val="18"/>
          <w:szCs w:val="18"/>
          <w:shd w:val="clear" w:color="auto" w:fill="FFFFFF"/>
          <w:lang w:val="en-IE"/>
        </w:rPr>
        <w:t>setting</w:t>
      </w:r>
      <w:r w:rsidR="00B57D4A" w:rsidRPr="00DC2E1F">
        <w:rPr>
          <w:sz w:val="18"/>
          <w:szCs w:val="18"/>
          <w:shd w:val="clear" w:color="auto" w:fill="FFFFFF"/>
          <w:lang w:val="en-IE"/>
        </w:rPr>
        <w:t xml:space="preserve"> up</w:t>
      </w:r>
      <w:r w:rsidRPr="00DC2E1F">
        <w:rPr>
          <w:sz w:val="18"/>
          <w:szCs w:val="18"/>
          <w:shd w:val="clear" w:color="auto" w:fill="FFFFFF"/>
          <w:lang w:val="en-IE"/>
        </w:rPr>
        <w:t xml:space="preserve"> the European Higher Education Sector Observatory. This Observatory</w:t>
      </w:r>
      <w:r>
        <w:rPr>
          <w:sz w:val="18"/>
          <w:szCs w:val="18"/>
          <w:shd w:val="clear" w:color="auto" w:fill="FFFFFF"/>
          <w:lang w:val="en-IE"/>
        </w:rPr>
        <w:t xml:space="preserve"> is supposed to combine</w:t>
      </w:r>
      <w:r w:rsidRPr="00DC2E1F">
        <w:rPr>
          <w:sz w:val="18"/>
          <w:szCs w:val="18"/>
          <w:shd w:val="clear" w:color="auto" w:fill="FFFFFF"/>
          <w:lang w:val="en-IE"/>
        </w:rPr>
        <w:t xml:space="preserve"> the best of the current EU data tools and capacities</w:t>
      </w:r>
      <w:r w:rsidRPr="00DC2E1F">
        <w:rPr>
          <w:rStyle w:val="footnotereference"/>
          <w:sz w:val="18"/>
          <w:szCs w:val="18"/>
          <w:shd w:val="clear" w:color="auto" w:fill="FFFFFF"/>
          <w:lang w:val="en-IE"/>
        </w:rPr>
        <w:t> </w:t>
      </w:r>
      <w:r w:rsidRPr="00DC2E1F">
        <w:rPr>
          <w:sz w:val="18"/>
          <w:szCs w:val="18"/>
          <w:shd w:val="clear" w:color="auto" w:fill="FFFFFF"/>
          <w:lang w:val="en-IE"/>
        </w:rPr>
        <w:t>in one single place, while further enhancing their use.</w:t>
      </w:r>
    </w:p>
  </w:footnote>
  <w:footnote w:id="57">
    <w:p w14:paraId="2423EA24" w14:textId="77777777" w:rsidR="00D11545" w:rsidRPr="00DC2E1F" w:rsidRDefault="00D11545">
      <w:pPr>
        <w:pStyle w:val="Allmrkusetekst"/>
        <w:rPr>
          <w:sz w:val="18"/>
          <w:szCs w:val="18"/>
        </w:rPr>
      </w:pPr>
      <w:r w:rsidRPr="00DC2E1F">
        <w:rPr>
          <w:rStyle w:val="Allmrkuseviide"/>
        </w:rPr>
        <w:footnoteRef/>
      </w:r>
      <w:r w:rsidR="008108CB" w:rsidRPr="00DC2E1F">
        <w:rPr>
          <w:sz w:val="18"/>
          <w:szCs w:val="18"/>
        </w:rPr>
        <w:tab/>
      </w:r>
      <w:r w:rsidRPr="00DC2E1F">
        <w:rPr>
          <w:sz w:val="18"/>
          <w:szCs w:val="18"/>
        </w:rPr>
        <w:t>Regulation (EU) 2021/817 of the European Parliament and of the Council of 20 May 2021 establishing Erasmus+: the Union Programme for education and training, youth and sport and repealing Regulation (EU) No 1288/2013 (OJ L 189, 28.5.2021, p. 1).</w:t>
      </w:r>
    </w:p>
  </w:footnote>
  <w:footnote w:id="58">
    <w:p w14:paraId="10DA2B44" w14:textId="77777777" w:rsidR="00B22A37" w:rsidRPr="00DC2E1F" w:rsidRDefault="00B22A37">
      <w:pPr>
        <w:pStyle w:val="Allmrkusetekst"/>
        <w:rPr>
          <w:sz w:val="18"/>
          <w:szCs w:val="18"/>
          <w:lang w:val="en-IE"/>
        </w:rPr>
      </w:pPr>
      <w:r w:rsidRPr="00DC2E1F">
        <w:rPr>
          <w:rStyle w:val="Allmrkuseviide"/>
        </w:rPr>
        <w:footnoteRef/>
      </w:r>
      <w:r w:rsidR="008108CB" w:rsidRPr="00DC2E1F">
        <w:rPr>
          <w:sz w:val="18"/>
          <w:szCs w:val="18"/>
        </w:rPr>
        <w:tab/>
      </w:r>
      <w:r w:rsidRPr="00DC2E1F">
        <w:rPr>
          <w:sz w:val="18"/>
          <w:szCs w:val="18"/>
          <w:shd w:val="clear" w:color="auto" w:fill="FFFFFF"/>
          <w:lang w:val="en-IE"/>
        </w:rPr>
        <w:t>Council Recommendation of 16 June 2022 on a European approach to micro-credentials for lifelong learning and employability (</w:t>
      </w:r>
      <w:r w:rsidRPr="00DC2E1F">
        <w:rPr>
          <w:rStyle w:val="Rhutus"/>
          <w:i w:val="0"/>
          <w:iCs w:val="0"/>
          <w:sz w:val="18"/>
          <w:szCs w:val="18"/>
          <w:shd w:val="clear" w:color="auto" w:fill="FFFFFF"/>
          <w:lang w:val="en-IE"/>
        </w:rPr>
        <w:t>OJ C 243, 27.6.2022, p. 10).</w:t>
      </w:r>
    </w:p>
  </w:footnote>
  <w:footnote w:id="59">
    <w:p w14:paraId="1CBA8E6C" w14:textId="77777777" w:rsidR="00772332" w:rsidRPr="00DC2E1F" w:rsidRDefault="00772332">
      <w:pPr>
        <w:pStyle w:val="Allmrkusetekst"/>
        <w:rPr>
          <w:sz w:val="18"/>
          <w:szCs w:val="18"/>
          <w:lang w:val="fr-BE"/>
        </w:rPr>
      </w:pPr>
      <w:r w:rsidRPr="00DC2E1F">
        <w:rPr>
          <w:rStyle w:val="Allmrkuseviide"/>
        </w:rPr>
        <w:footnoteRef/>
      </w:r>
      <w:r w:rsidR="00F306B4" w:rsidRPr="00DC2E1F">
        <w:rPr>
          <w:sz w:val="18"/>
          <w:szCs w:val="18"/>
          <w:lang w:val="fr-BE"/>
        </w:rPr>
        <w:tab/>
      </w:r>
      <w:hyperlink r:id="rId18" w:history="1">
        <w:r w:rsidRPr="00DC2E1F">
          <w:rPr>
            <w:rStyle w:val="Hperlink"/>
            <w:sz w:val="18"/>
            <w:szCs w:val="18"/>
            <w:lang w:val="fr-BE"/>
          </w:rPr>
          <w:t>Home | Europass</w:t>
        </w:r>
      </w:hyperlink>
      <w:r w:rsidR="006C5FDA" w:rsidRPr="00DC2E1F">
        <w:rPr>
          <w:sz w:val="18"/>
          <w:szCs w:val="18"/>
          <w:lang w:val="fr-BE"/>
        </w:rPr>
        <w:t>.</w:t>
      </w:r>
    </w:p>
  </w:footnote>
  <w:footnote w:id="60">
    <w:p w14:paraId="3BF679FC" w14:textId="77777777" w:rsidR="00772332" w:rsidRPr="00DC2E1F" w:rsidRDefault="00772332">
      <w:pPr>
        <w:pStyle w:val="Allmrkusetekst"/>
        <w:rPr>
          <w:sz w:val="18"/>
          <w:szCs w:val="18"/>
          <w:lang w:val="fr-BE"/>
        </w:rPr>
      </w:pPr>
      <w:r w:rsidRPr="00DC2E1F">
        <w:rPr>
          <w:rStyle w:val="Allmrkuseviide"/>
        </w:rPr>
        <w:footnoteRef/>
      </w:r>
      <w:r w:rsidR="008108CB" w:rsidRPr="00DC2E1F">
        <w:rPr>
          <w:sz w:val="18"/>
          <w:szCs w:val="18"/>
          <w:lang w:val="fr-BE"/>
        </w:rPr>
        <w:tab/>
      </w:r>
      <w:hyperlink r:id="rId19" w:history="1">
        <w:r w:rsidRPr="00DC2E1F">
          <w:rPr>
            <w:rStyle w:val="Hperlink"/>
            <w:sz w:val="18"/>
            <w:szCs w:val="18"/>
            <w:lang w:val="fr-BE"/>
          </w:rPr>
          <w:t>EURES (europa.eu)</w:t>
        </w:r>
      </w:hyperlink>
      <w:r w:rsidR="006C5FDA" w:rsidRPr="00DC2E1F">
        <w:rPr>
          <w:sz w:val="18"/>
          <w:szCs w:val="18"/>
          <w:lang w:val="fr-BE"/>
        </w:rPr>
        <w:t>.</w:t>
      </w:r>
    </w:p>
  </w:footnote>
  <w:footnote w:id="61">
    <w:p w14:paraId="51EEB9EA" w14:textId="77777777" w:rsidR="006468FB" w:rsidRPr="00DC2E1F" w:rsidRDefault="006468FB">
      <w:pPr>
        <w:pStyle w:val="Allmrkusetekst"/>
        <w:rPr>
          <w:sz w:val="18"/>
          <w:szCs w:val="18"/>
        </w:rPr>
      </w:pPr>
      <w:r w:rsidRPr="00DC2E1F">
        <w:rPr>
          <w:rStyle w:val="Allmrkuseviide"/>
        </w:rPr>
        <w:footnoteRef/>
      </w:r>
      <w:r w:rsidR="008108CB" w:rsidRPr="00DC2E1F">
        <w:rPr>
          <w:sz w:val="18"/>
          <w:szCs w:val="18"/>
        </w:rPr>
        <w:tab/>
      </w:r>
      <w:r w:rsidRPr="00DC2E1F">
        <w:rPr>
          <w:sz w:val="18"/>
          <w:szCs w:val="18"/>
        </w:rPr>
        <w:t>For example</w:t>
      </w:r>
      <w:r w:rsidR="00D11545" w:rsidRPr="00DC2E1F">
        <w:rPr>
          <w:sz w:val="18"/>
          <w:szCs w:val="18"/>
        </w:rPr>
        <w:t>,</w:t>
      </w:r>
      <w:r w:rsidRPr="00DC2E1F">
        <w:rPr>
          <w:sz w:val="18"/>
          <w:szCs w:val="18"/>
        </w:rPr>
        <w:t xml:space="preserve"> due to parenthood and caring responsibilities, health issues.</w:t>
      </w:r>
    </w:p>
  </w:footnote>
  <w:footnote w:id="62">
    <w:p w14:paraId="4E5F1AC0" w14:textId="77777777" w:rsidR="00D11545" w:rsidRPr="00DC2E1F" w:rsidRDefault="00D11545">
      <w:pPr>
        <w:pStyle w:val="Allmrkusetekst"/>
        <w:rPr>
          <w:sz w:val="18"/>
          <w:szCs w:val="18"/>
        </w:rPr>
      </w:pPr>
      <w:r w:rsidRPr="00DC2E1F">
        <w:rPr>
          <w:rStyle w:val="Allmrkuseviide"/>
        </w:rPr>
        <w:footnoteRef/>
      </w:r>
      <w:r w:rsidR="008108CB" w:rsidRPr="00DC2E1F">
        <w:rPr>
          <w:sz w:val="18"/>
          <w:szCs w:val="18"/>
        </w:rPr>
        <w:tab/>
      </w:r>
      <w:r w:rsidRPr="00DC2E1F">
        <w:rPr>
          <w:sz w:val="18"/>
          <w:szCs w:val="18"/>
          <w:shd w:val="clear" w:color="auto" w:fill="FFFFFF"/>
          <w:lang w:val="en-IE"/>
        </w:rPr>
        <w:t>Council Recommendation of 16 June 2022 on learning for the green transition and sustainable development (</w:t>
      </w:r>
      <w:r w:rsidRPr="00DC2E1F">
        <w:rPr>
          <w:sz w:val="18"/>
          <w:szCs w:val="18"/>
          <w:lang w:val="en-IE"/>
        </w:rPr>
        <w:t>OJ C 243, 27.6.2022, p. 1</w:t>
      </w:r>
      <w:r w:rsidRPr="00DC2E1F">
        <w:rPr>
          <w:sz w:val="18"/>
          <w:szCs w:val="18"/>
        </w:rPr>
        <w:t>).</w:t>
      </w:r>
    </w:p>
  </w:footnote>
  <w:footnote w:id="63">
    <w:p w14:paraId="3192224D" w14:textId="77777777" w:rsidR="00F306B4" w:rsidRPr="00DC2E1F" w:rsidRDefault="00F306B4">
      <w:pPr>
        <w:pStyle w:val="Allmrkusetekst"/>
        <w:rPr>
          <w:sz w:val="18"/>
          <w:szCs w:val="18"/>
        </w:rPr>
      </w:pPr>
      <w:r w:rsidRPr="00DC2E1F">
        <w:rPr>
          <w:rStyle w:val="Allmrkuseviide"/>
        </w:rPr>
        <w:footnoteRef/>
      </w:r>
      <w:r w:rsidR="008108CB" w:rsidRPr="00DC2E1F">
        <w:rPr>
          <w:sz w:val="18"/>
          <w:szCs w:val="18"/>
        </w:rPr>
        <w:tab/>
      </w:r>
      <w:r w:rsidRPr="00DC2E1F">
        <w:rPr>
          <w:rFonts w:eastAsia="Times New Roman"/>
          <w:sz w:val="18"/>
          <w:szCs w:val="18"/>
          <w:shd w:val="clear" w:color="auto" w:fill="FFFFFF"/>
          <w:lang w:val="en-IE" w:eastAsia="en-IE"/>
        </w:rPr>
        <w:t>Open educational practices represent teaching and learning techniques that draw upon open and participatory technologies and open educational resources to facilitate collaborative and flexible learning.</w:t>
      </w:r>
    </w:p>
  </w:footnote>
  <w:footnote w:id="64">
    <w:p w14:paraId="4E3AA2B0" w14:textId="77777777" w:rsidR="00EF456E" w:rsidRPr="00DC2E1F" w:rsidRDefault="00EF456E" w:rsidP="00CE17B7">
      <w:pPr>
        <w:pStyle w:val="Allmrkusetekst"/>
        <w:ind w:left="284" w:hanging="284"/>
        <w:rPr>
          <w:sz w:val="18"/>
          <w:szCs w:val="18"/>
          <w:lang w:val="en-IE"/>
        </w:rPr>
      </w:pPr>
      <w:r w:rsidRPr="00DC2E1F">
        <w:rPr>
          <w:rStyle w:val="Allmrkuseviide"/>
        </w:rPr>
        <w:footnoteRef/>
      </w:r>
      <w:r w:rsidR="008108CB" w:rsidRPr="00DC2E1F">
        <w:rPr>
          <w:sz w:val="18"/>
          <w:szCs w:val="18"/>
        </w:rPr>
        <w:tab/>
      </w:r>
      <w:hyperlink r:id="rId20" w:history="1">
        <w:r w:rsidRPr="00DC2E1F">
          <w:rPr>
            <w:rStyle w:val="Hperlink"/>
            <w:sz w:val="18"/>
            <w:szCs w:val="18"/>
          </w:rPr>
          <w:t>The EU Platform of Diversity Charters turns 10! - European Commission (europa.eu)</w:t>
        </w:r>
      </w:hyperlink>
      <w:r w:rsidR="006C5FDA" w:rsidRPr="00DC2E1F">
        <w:rPr>
          <w:rStyle w:val="Hperlink"/>
          <w:sz w:val="18"/>
          <w:szCs w:val="18"/>
        </w:rPr>
        <w:t>.</w:t>
      </w:r>
    </w:p>
  </w:footnote>
  <w:footnote w:id="65">
    <w:p w14:paraId="3A80150D" w14:textId="77777777" w:rsidR="00276759" w:rsidRPr="00DC2E1F" w:rsidRDefault="00276759" w:rsidP="00CE17B7">
      <w:pPr>
        <w:pStyle w:val="Allmrkusetekst"/>
        <w:ind w:left="284" w:hanging="284"/>
        <w:rPr>
          <w:sz w:val="18"/>
          <w:szCs w:val="18"/>
          <w:lang w:val="en-IE"/>
        </w:rPr>
      </w:pPr>
      <w:r w:rsidRPr="00DC2E1F">
        <w:rPr>
          <w:rStyle w:val="Allmrkuseviide"/>
        </w:rPr>
        <w:footnoteRef/>
      </w:r>
      <w:r w:rsidR="008108CB" w:rsidRPr="00DC2E1F">
        <w:rPr>
          <w:sz w:val="18"/>
          <w:szCs w:val="18"/>
        </w:rPr>
        <w:tab/>
      </w:r>
      <w:r w:rsidR="004E2FDB" w:rsidRPr="00DC2E1F">
        <w:rPr>
          <w:sz w:val="18"/>
          <w:szCs w:val="18"/>
          <w:lang w:val="en-IE"/>
        </w:rPr>
        <w:t>Council conclusions on a European strategy empowering higher education institutions for the future of Europe (</w:t>
      </w:r>
      <w:r w:rsidRPr="00DC2E1F">
        <w:rPr>
          <w:rStyle w:val="Rhutus"/>
          <w:i w:val="0"/>
          <w:iCs w:val="0"/>
          <w:sz w:val="18"/>
          <w:szCs w:val="18"/>
          <w:shd w:val="clear" w:color="auto" w:fill="FFFFFF"/>
        </w:rPr>
        <w:t>OJ C 167, 21.4.2022, p. 9</w:t>
      </w:r>
      <w:r w:rsidR="004E2FDB" w:rsidRPr="00DC2E1F">
        <w:rPr>
          <w:rStyle w:val="Rhutus"/>
          <w:i w:val="0"/>
          <w:iCs w:val="0"/>
          <w:sz w:val="18"/>
          <w:szCs w:val="18"/>
          <w:shd w:val="clear" w:color="auto" w:fill="FFFFFF"/>
        </w:rPr>
        <w:t>)</w:t>
      </w:r>
      <w:r w:rsidRPr="00DC2E1F">
        <w:rPr>
          <w:rStyle w:val="Rhutus"/>
          <w:i w:val="0"/>
          <w:iCs w:val="0"/>
          <w:sz w:val="18"/>
          <w:szCs w:val="18"/>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065DB" w14:textId="5FCA48DA" w:rsidR="00254C90" w:rsidRPr="00750230" w:rsidRDefault="00750230" w:rsidP="00750230">
    <w:pPr>
      <w:pStyle w:val="HeaderCouncilLarge"/>
    </w:pPr>
    <w: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90242" w14:textId="34F44429" w:rsidR="00254C90" w:rsidRPr="00750230" w:rsidRDefault="00750230" w:rsidP="00750230">
    <w:pPr>
      <w:pStyle w:val="HeaderCouncil"/>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3914" w14:textId="77777777" w:rsidR="00254C90" w:rsidRDefault="00254C90">
    <w:pPr>
      <w:pStyle w:val="Pi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26FC7" w14:textId="77777777" w:rsidR="00254C90" w:rsidRDefault="00254C90">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F57D4" w14:textId="77777777" w:rsidR="00254C90" w:rsidRDefault="00254C90">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5482F" w14:textId="77777777" w:rsidR="00B14983" w:rsidRDefault="00B14983">
    <w:pPr>
      <w:pStyle w:val="Pi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DCB22" w14:textId="77777777" w:rsidR="00B14983" w:rsidRDefault="00B14983">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F3C8BFE4"/>
    <w:lvl w:ilvl="0">
      <w:start w:val="1"/>
      <w:numFmt w:val="bullet"/>
      <w:pStyle w:val="Loenditpp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820A856"/>
    <w:lvl w:ilvl="0">
      <w:start w:val="1"/>
      <w:numFmt w:val="bullet"/>
      <w:pStyle w:val="Loenditpp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7D6F416"/>
    <w:lvl w:ilvl="0">
      <w:start w:val="1"/>
      <w:numFmt w:val="bullet"/>
      <w:pStyle w:val="Loenditpp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ABE2745A"/>
    <w:lvl w:ilvl="0">
      <w:start w:val="1"/>
      <w:numFmt w:val="bullet"/>
      <w:pStyle w:val="Loenditpp"/>
      <w:lvlText w:val=""/>
      <w:lvlJc w:val="left"/>
      <w:pPr>
        <w:tabs>
          <w:tab w:val="num" w:pos="360"/>
        </w:tabs>
        <w:ind w:left="360" w:hanging="360"/>
      </w:pPr>
      <w:rPr>
        <w:rFonts w:ascii="Symbol" w:hAnsi="Symbol" w:hint="default"/>
      </w:rPr>
    </w:lvl>
  </w:abstractNum>
  <w:abstractNum w:abstractNumId="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9"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0"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1"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2" w15:restartNumberingAfterBreak="0">
    <w:nsid w:val="5176726A"/>
    <w:multiLevelType w:val="hybridMultilevel"/>
    <w:tmpl w:val="79729880"/>
    <w:lvl w:ilvl="0" w:tplc="D9AAEAE0">
      <w:start w:val="1"/>
      <w:numFmt w:val="bullet"/>
      <w:pStyle w:val="BulletedList"/>
      <w:lvlText w:val=""/>
      <w:lvlJc w:val="left"/>
      <w:pPr>
        <w:ind w:left="680" w:hanging="340"/>
      </w:pPr>
      <w:rPr>
        <w:rFonts w:ascii="Symbol" w:hAnsi="Symbol" w:hint="default"/>
        <w:color w:val="4472C4"/>
      </w:rPr>
    </w:lvl>
    <w:lvl w:ilvl="1" w:tplc="3DD45682">
      <w:start w:val="1"/>
      <w:numFmt w:val="bullet"/>
      <w:lvlText w:val="o"/>
      <w:lvlJc w:val="left"/>
      <w:pPr>
        <w:tabs>
          <w:tab w:val="num" w:pos="680"/>
        </w:tabs>
        <w:ind w:left="1021" w:hanging="341"/>
      </w:pPr>
      <w:rPr>
        <w:rFonts w:ascii="Courier New" w:hAnsi="Courier New" w:cs="Times New Roman" w:hint="default"/>
      </w:rPr>
    </w:lvl>
    <w:lvl w:ilvl="2" w:tplc="75A6C844">
      <w:start w:val="1"/>
      <w:numFmt w:val="bullet"/>
      <w:lvlText w:val="‒"/>
      <w:lvlJc w:val="left"/>
      <w:pPr>
        <w:tabs>
          <w:tab w:val="num" w:pos="1021"/>
        </w:tabs>
        <w:ind w:left="1361" w:hanging="340"/>
      </w:pPr>
      <w:rPr>
        <w:rFonts w:ascii="Calibri" w:hAnsi="Calibri" w:cs="Times New Roman" w:hint="default"/>
      </w:rPr>
    </w:lvl>
    <w:lvl w:ilvl="3" w:tplc="DDBC079E">
      <w:start w:val="1"/>
      <w:numFmt w:val="bullet"/>
      <w:lvlText w:val="‒"/>
      <w:lvlJc w:val="left"/>
      <w:pPr>
        <w:tabs>
          <w:tab w:val="num" w:pos="1361"/>
        </w:tabs>
        <w:ind w:left="1701" w:hanging="340"/>
      </w:pPr>
      <w:rPr>
        <w:rFonts w:ascii="Calibri" w:hAnsi="Calibri" w:cs="Times New Roman" w:hint="default"/>
      </w:rPr>
    </w:lvl>
    <w:lvl w:ilvl="4" w:tplc="FA7AE4F4">
      <w:start w:val="1"/>
      <w:numFmt w:val="bullet"/>
      <w:lvlText w:val="‒"/>
      <w:lvlJc w:val="left"/>
      <w:pPr>
        <w:tabs>
          <w:tab w:val="num" w:pos="1701"/>
        </w:tabs>
        <w:ind w:left="2041" w:hanging="340"/>
      </w:pPr>
      <w:rPr>
        <w:rFonts w:ascii="Calibri" w:hAnsi="Calibri" w:cs="Times New Roman"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cs="Courier New" w:hint="default"/>
      </w:rPr>
    </w:lvl>
    <w:lvl w:ilvl="8" w:tplc="04090005">
      <w:start w:val="1"/>
      <w:numFmt w:val="bullet"/>
      <w:lvlText w:val=""/>
      <w:lvlJc w:val="left"/>
      <w:pPr>
        <w:ind w:left="6934" w:hanging="360"/>
      </w:pPr>
      <w:rPr>
        <w:rFonts w:ascii="Wingdings" w:hAnsi="Wingdings" w:hint="default"/>
      </w:rPr>
    </w:lvl>
  </w:abstractNum>
  <w:abstractNum w:abstractNumId="13"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4"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5"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7" w15:restartNumberingAfterBreak="0">
    <w:nsid w:val="64A12FA4"/>
    <w:multiLevelType w:val="multilevel"/>
    <w:tmpl w:val="428ECF3E"/>
    <w:name w:val="Heading"/>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1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712193625">
    <w:abstractNumId w:val="3"/>
  </w:num>
  <w:num w:numId="2" w16cid:durableId="1781340229">
    <w:abstractNumId w:val="2"/>
  </w:num>
  <w:num w:numId="3" w16cid:durableId="589509449">
    <w:abstractNumId w:val="1"/>
  </w:num>
  <w:num w:numId="4" w16cid:durableId="1397849818">
    <w:abstractNumId w:val="0"/>
  </w:num>
  <w:num w:numId="5" w16cid:durableId="560677833">
    <w:abstractNumId w:val="12"/>
  </w:num>
  <w:num w:numId="6" w16cid:durableId="931202586">
    <w:abstractNumId w:val="14"/>
    <w:lvlOverride w:ilvl="0">
      <w:startOverride w:val="1"/>
    </w:lvlOverride>
  </w:num>
  <w:num w:numId="7" w16cid:durableId="1627590001">
    <w:abstractNumId w:val="16"/>
  </w:num>
  <w:num w:numId="8" w16cid:durableId="1632438924">
    <w:abstractNumId w:val="8"/>
  </w:num>
  <w:num w:numId="9" w16cid:durableId="1890874394">
    <w:abstractNumId w:val="18"/>
  </w:num>
  <w:num w:numId="10" w16cid:durableId="665400161">
    <w:abstractNumId w:val="7"/>
  </w:num>
  <w:num w:numId="11" w16cid:durableId="707681245">
    <w:abstractNumId w:val="9"/>
  </w:num>
  <w:num w:numId="12" w16cid:durableId="1091511751">
    <w:abstractNumId w:val="10"/>
  </w:num>
  <w:num w:numId="13" w16cid:durableId="175507071">
    <w:abstractNumId w:val="5"/>
  </w:num>
  <w:num w:numId="14" w16cid:durableId="1472402603">
    <w:abstractNumId w:val="17"/>
  </w:num>
  <w:num w:numId="15" w16cid:durableId="99302446">
    <w:abstractNumId w:val="4"/>
  </w:num>
  <w:num w:numId="16" w16cid:durableId="1065565533">
    <w:abstractNumId w:val="11"/>
  </w:num>
  <w:num w:numId="17" w16cid:durableId="823274468">
    <w:abstractNumId w:val="14"/>
  </w:num>
  <w:num w:numId="18" w16cid:durableId="1039165715">
    <w:abstractNumId w:val="15"/>
  </w:num>
  <w:num w:numId="19" w16cid:durableId="611941388">
    <w:abstractNumId w:val="6"/>
  </w:num>
  <w:num w:numId="20" w16cid:durableId="2120905452">
    <w:abstractNumId w:val="13"/>
  </w:num>
  <w:num w:numId="21" w16cid:durableId="849028666">
    <w:abstractNumId w:val="19"/>
  </w:num>
  <w:num w:numId="22" w16cid:durableId="21025304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8649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569007">
    <w:abstractNumId w:val="19"/>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ttachedTemplate r:id="rId1"/>
  <w:revisionView w:markup="0"/>
  <w:doNotTrackFormatting/>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CoverPageOnWordDoc" w:val="false"/>
    <w:docVar w:name="CR_RefLast" w:val="0"/>
    <w:docVar w:name="DocuWriteMetaData" w:val="&lt;metadataset docuwriteversion=&quot;4.8.5&quot; technicalblockguid=&quot;4733429487238374244&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4-03&lt;/text&gt;_x000d__x000a_  &lt;/metadata&gt;_x000d__x000a_  &lt;metadata key=&quot;md_Prefix&quot;&gt;_x000d__x000a_    &lt;text&gt;&lt;/text&gt;_x000d__x000a_  &lt;/metadata&gt;_x000d__x000a_  &lt;metadata key=&quot;md_DocumentNumber&quot;&gt;_x000d__x000a_    &lt;text&gt;8506&lt;/text&gt;_x000d__x000a_  &lt;/metadata&gt;_x000d__x000a_  &lt;metadata key=&quot;md_YearDocumentNumber&quot;&gt;_x000d__x000a_    &lt;text&gt;2024&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DUC 111&lt;/text&gt;_x000d__x000a_      &lt;text&gt;SOC 250&lt;/text&gt;_x000d__x000a_      &lt;text&gt;RECH 152&lt;/text&gt;_x000d__x000a_      &lt;text&gt;JEUN 73&lt;/text&gt;_x000d__x000a_      &lt;text&gt;DIGIT 100&lt;/text&gt;_x000d__x000a_      &lt;text&gt;ENV 386&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78(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145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Proposal for a COUNCIL RECOMMENDATION on attractive and sustainable careers in higher education&quot;&gt;&amp;lt;FlowDocument FontFamily=&quot;Segoe UI&quot; FontSize=&quot;12&quot; PagePadding=&quot;2,2,2,2&quot; AllowDrop=&quot;False&quot; xmlns=&quot;http://schemas.microsoft.com/winfx/2006/xaml/presentation&quot;&amp;gt;&amp;lt;Paragraph&amp;gt;Proposal for a COUNCIL RECOMMENDATION on attractive and sustainable careers in higher education&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CC/fco&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Proposal for a _x000d__x000a_COUNCIL RECOMMENDATION&lt;/text&gt;_x000d__x000a_  &lt;/metadata&gt;_x000d__x000a_  &lt;metadata key=&quot;md_SourceDocTitle&quot;&gt;_x000d__x000a_    &lt;text&gt;on attractive and sustainable careers in higher education&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4-03-22 19:37:19"/>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DW_KeepCompatibilityMode" w:val="true"/>
    <w:docVar w:name="LW_CORRIGENDUM" w:val="&lt;UNUSED&gt;"/>
    <w:docVar w:name="LW_COVERPAGE_EXISTS" w:val="True"/>
    <w:docVar w:name="LW_COVERPAGE_GUID" w:val="2B746AFF-91FC-42DF-99B9-08C80F6C5F53"/>
    <w:docVar w:name="LW_COVERPAGE_TYPE" w:val="1"/>
    <w:docVar w:name="LW_CROSSREFERENCE" w:val="{SWD(2024) 74 final}"/>
    <w:docVar w:name="LW_DocType" w:val="COM"/>
    <w:docVar w:name="LW_EMISSION" w:val="27.3.2024"/>
    <w:docVar w:name="LW_EMISSION_ISODATE" w:val="2024-03-27"/>
    <w:docVar w:name="LW_EMISSION_LOCATION" w:val="BRX"/>
    <w:docVar w:name="LW_EMISSION_PREFIX" w:val="Brussels, "/>
    <w:docVar w:name="LW_EMISSION_SUFFIX" w:val=" "/>
    <w:docVar w:name="LW_ID_DOCMODEL" w:val="SJ-022"/>
    <w:docVar w:name="LW_ID_DOCSIGNATURE" w:val="SJ-022"/>
    <w:docVar w:name="LW_ID_DOCSTRUCTURE" w:val="COM/PL/ORG"/>
    <w:docVar w:name="LW_ID_DOCTYPE" w:val="SJ-022"/>
    <w:docVar w:name="LW_ID_STATUT" w:val="SJ-022"/>
    <w:docVar w:name="LW_INSERT_EXP.MOTIFS.NEW" w:val="1"/>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78"/>
    <w:docVar w:name="LW_REF.II.NEW.CP_YEAR" w:val="2024"/>
    <w:docVar w:name="LW_REF.INST.NEW" w:val="COM"/>
    <w:docVar w:name="LW_REF.INST.NEW_ADOPTED" w:val="final"/>
    <w:docVar w:name="LW_REF.INST.NEW_TEXT" w:val="(2024) 14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attractive and sustainable careers in higher education"/>
    <w:docVar w:name="LW_TYPE.DOC.CP" w:val="COUNCIL RECOMMENDATION"/>
    <w:docVar w:name="LwApiVersions" w:val="LW4CoDe 1.24.5.0; LW 9.0, Build 20240221"/>
  </w:docVars>
  <w:rsids>
    <w:rsidRoot w:val="00687B11"/>
    <w:rsid w:val="00003B0E"/>
    <w:rsid w:val="00004554"/>
    <w:rsid w:val="000049A3"/>
    <w:rsid w:val="00010DEB"/>
    <w:rsid w:val="0001176D"/>
    <w:rsid w:val="000121AE"/>
    <w:rsid w:val="00013A88"/>
    <w:rsid w:val="00014DFE"/>
    <w:rsid w:val="000153E7"/>
    <w:rsid w:val="0001557C"/>
    <w:rsid w:val="00015C0F"/>
    <w:rsid w:val="0001656F"/>
    <w:rsid w:val="000165A3"/>
    <w:rsid w:val="00020AE2"/>
    <w:rsid w:val="0002160A"/>
    <w:rsid w:val="00022C6C"/>
    <w:rsid w:val="00023401"/>
    <w:rsid w:val="00024602"/>
    <w:rsid w:val="000247A5"/>
    <w:rsid w:val="00024CB6"/>
    <w:rsid w:val="00025137"/>
    <w:rsid w:val="00025FF5"/>
    <w:rsid w:val="0002670D"/>
    <w:rsid w:val="00026E2C"/>
    <w:rsid w:val="00030090"/>
    <w:rsid w:val="000302D1"/>
    <w:rsid w:val="0003109E"/>
    <w:rsid w:val="0003130B"/>
    <w:rsid w:val="000325C1"/>
    <w:rsid w:val="000336E9"/>
    <w:rsid w:val="0003466A"/>
    <w:rsid w:val="000358E6"/>
    <w:rsid w:val="00035BEB"/>
    <w:rsid w:val="00036B58"/>
    <w:rsid w:val="000400BC"/>
    <w:rsid w:val="000414D3"/>
    <w:rsid w:val="000452EA"/>
    <w:rsid w:val="00046071"/>
    <w:rsid w:val="0004694E"/>
    <w:rsid w:val="0004780E"/>
    <w:rsid w:val="0005056B"/>
    <w:rsid w:val="00050E7F"/>
    <w:rsid w:val="00051E63"/>
    <w:rsid w:val="00051FCE"/>
    <w:rsid w:val="00052F6E"/>
    <w:rsid w:val="00055B2A"/>
    <w:rsid w:val="00056D23"/>
    <w:rsid w:val="00056F88"/>
    <w:rsid w:val="00057610"/>
    <w:rsid w:val="00057C16"/>
    <w:rsid w:val="00057E2A"/>
    <w:rsid w:val="00060356"/>
    <w:rsid w:val="00061731"/>
    <w:rsid w:val="00062483"/>
    <w:rsid w:val="00062601"/>
    <w:rsid w:val="000630E5"/>
    <w:rsid w:val="00064361"/>
    <w:rsid w:val="00071ED2"/>
    <w:rsid w:val="0007203C"/>
    <w:rsid w:val="00073F6C"/>
    <w:rsid w:val="00074870"/>
    <w:rsid w:val="00077DD9"/>
    <w:rsid w:val="000809B9"/>
    <w:rsid w:val="0008180E"/>
    <w:rsid w:val="0008188C"/>
    <w:rsid w:val="00081D85"/>
    <w:rsid w:val="00082CD8"/>
    <w:rsid w:val="00082D55"/>
    <w:rsid w:val="00083258"/>
    <w:rsid w:val="000846CB"/>
    <w:rsid w:val="000851BA"/>
    <w:rsid w:val="0008606C"/>
    <w:rsid w:val="0008680B"/>
    <w:rsid w:val="0008786F"/>
    <w:rsid w:val="000901EA"/>
    <w:rsid w:val="00091696"/>
    <w:rsid w:val="00091708"/>
    <w:rsid w:val="00091F33"/>
    <w:rsid w:val="00092304"/>
    <w:rsid w:val="0009328D"/>
    <w:rsid w:val="00093F24"/>
    <w:rsid w:val="000940E8"/>
    <w:rsid w:val="00094317"/>
    <w:rsid w:val="00094B3F"/>
    <w:rsid w:val="000962C9"/>
    <w:rsid w:val="000963F9"/>
    <w:rsid w:val="00096F48"/>
    <w:rsid w:val="00097528"/>
    <w:rsid w:val="000A0246"/>
    <w:rsid w:val="000A0E6E"/>
    <w:rsid w:val="000A1E23"/>
    <w:rsid w:val="000A23E7"/>
    <w:rsid w:val="000A2989"/>
    <w:rsid w:val="000A2C00"/>
    <w:rsid w:val="000A36B7"/>
    <w:rsid w:val="000A3DA7"/>
    <w:rsid w:val="000A4716"/>
    <w:rsid w:val="000A4D62"/>
    <w:rsid w:val="000A528A"/>
    <w:rsid w:val="000A6D4F"/>
    <w:rsid w:val="000A6FDB"/>
    <w:rsid w:val="000A7B5C"/>
    <w:rsid w:val="000A7D53"/>
    <w:rsid w:val="000B0BAF"/>
    <w:rsid w:val="000B17D1"/>
    <w:rsid w:val="000B1ADC"/>
    <w:rsid w:val="000B2388"/>
    <w:rsid w:val="000B2B36"/>
    <w:rsid w:val="000B2B9D"/>
    <w:rsid w:val="000B34BF"/>
    <w:rsid w:val="000B3A11"/>
    <w:rsid w:val="000B3D95"/>
    <w:rsid w:val="000B5610"/>
    <w:rsid w:val="000B6A9C"/>
    <w:rsid w:val="000C1747"/>
    <w:rsid w:val="000C20BF"/>
    <w:rsid w:val="000C24EB"/>
    <w:rsid w:val="000C25E0"/>
    <w:rsid w:val="000C2B0C"/>
    <w:rsid w:val="000C2D8C"/>
    <w:rsid w:val="000C2E36"/>
    <w:rsid w:val="000C3247"/>
    <w:rsid w:val="000C4166"/>
    <w:rsid w:val="000C5E1C"/>
    <w:rsid w:val="000C6451"/>
    <w:rsid w:val="000C690F"/>
    <w:rsid w:val="000C6D72"/>
    <w:rsid w:val="000C6DC4"/>
    <w:rsid w:val="000D03D5"/>
    <w:rsid w:val="000D10B0"/>
    <w:rsid w:val="000D110B"/>
    <w:rsid w:val="000D1724"/>
    <w:rsid w:val="000D1B7E"/>
    <w:rsid w:val="000D3DBC"/>
    <w:rsid w:val="000D4457"/>
    <w:rsid w:val="000D451B"/>
    <w:rsid w:val="000D56DF"/>
    <w:rsid w:val="000D6274"/>
    <w:rsid w:val="000D6348"/>
    <w:rsid w:val="000E0B86"/>
    <w:rsid w:val="000E0F90"/>
    <w:rsid w:val="000E2360"/>
    <w:rsid w:val="000E331C"/>
    <w:rsid w:val="000E59E1"/>
    <w:rsid w:val="000E6154"/>
    <w:rsid w:val="000E6E5A"/>
    <w:rsid w:val="000E7890"/>
    <w:rsid w:val="000F131B"/>
    <w:rsid w:val="000F1A8F"/>
    <w:rsid w:val="000F254F"/>
    <w:rsid w:val="000F325A"/>
    <w:rsid w:val="000F3CEA"/>
    <w:rsid w:val="000F5DC7"/>
    <w:rsid w:val="000F6789"/>
    <w:rsid w:val="000F766C"/>
    <w:rsid w:val="000FEE9C"/>
    <w:rsid w:val="0010011F"/>
    <w:rsid w:val="00100840"/>
    <w:rsid w:val="00102850"/>
    <w:rsid w:val="00102F41"/>
    <w:rsid w:val="00103704"/>
    <w:rsid w:val="001044EF"/>
    <w:rsid w:val="00104B97"/>
    <w:rsid w:val="00104D09"/>
    <w:rsid w:val="00104E6C"/>
    <w:rsid w:val="001051DF"/>
    <w:rsid w:val="001065F5"/>
    <w:rsid w:val="00106DAA"/>
    <w:rsid w:val="00107072"/>
    <w:rsid w:val="001072F6"/>
    <w:rsid w:val="00107569"/>
    <w:rsid w:val="00110082"/>
    <w:rsid w:val="001103F4"/>
    <w:rsid w:val="0011060E"/>
    <w:rsid w:val="001108B9"/>
    <w:rsid w:val="001115A9"/>
    <w:rsid w:val="00111B65"/>
    <w:rsid w:val="00112277"/>
    <w:rsid w:val="001129E0"/>
    <w:rsid w:val="00115180"/>
    <w:rsid w:val="0011788F"/>
    <w:rsid w:val="00120D8C"/>
    <w:rsid w:val="001238EF"/>
    <w:rsid w:val="0012560A"/>
    <w:rsid w:val="00125848"/>
    <w:rsid w:val="00125A21"/>
    <w:rsid w:val="00127814"/>
    <w:rsid w:val="00130383"/>
    <w:rsid w:val="0013121F"/>
    <w:rsid w:val="00131D6A"/>
    <w:rsid w:val="00131DCD"/>
    <w:rsid w:val="00131E03"/>
    <w:rsid w:val="0013576C"/>
    <w:rsid w:val="001418B1"/>
    <w:rsid w:val="00145112"/>
    <w:rsid w:val="001452CE"/>
    <w:rsid w:val="00145B88"/>
    <w:rsid w:val="0014625A"/>
    <w:rsid w:val="001476F9"/>
    <w:rsid w:val="00147C56"/>
    <w:rsid w:val="001515F5"/>
    <w:rsid w:val="00152A06"/>
    <w:rsid w:val="00154320"/>
    <w:rsid w:val="00155378"/>
    <w:rsid w:val="001557F5"/>
    <w:rsid w:val="001561F3"/>
    <w:rsid w:val="001564E9"/>
    <w:rsid w:val="00156B76"/>
    <w:rsid w:val="00157C6A"/>
    <w:rsid w:val="00157D7C"/>
    <w:rsid w:val="00160309"/>
    <w:rsid w:val="0016057D"/>
    <w:rsid w:val="001616DF"/>
    <w:rsid w:val="00161A5A"/>
    <w:rsid w:val="00162F01"/>
    <w:rsid w:val="0016312B"/>
    <w:rsid w:val="00163153"/>
    <w:rsid w:val="00164A1D"/>
    <w:rsid w:val="00164E83"/>
    <w:rsid w:val="0016542C"/>
    <w:rsid w:val="00165479"/>
    <w:rsid w:val="0016663A"/>
    <w:rsid w:val="00167035"/>
    <w:rsid w:val="0016748F"/>
    <w:rsid w:val="00170D04"/>
    <w:rsid w:val="001719D8"/>
    <w:rsid w:val="001733A3"/>
    <w:rsid w:val="0017384D"/>
    <w:rsid w:val="00174878"/>
    <w:rsid w:val="001748F6"/>
    <w:rsid w:val="00175C0D"/>
    <w:rsid w:val="00176E0A"/>
    <w:rsid w:val="0017709A"/>
    <w:rsid w:val="0017743C"/>
    <w:rsid w:val="00177DD1"/>
    <w:rsid w:val="00180FF0"/>
    <w:rsid w:val="0018191F"/>
    <w:rsid w:val="00187111"/>
    <w:rsid w:val="00190AAA"/>
    <w:rsid w:val="00191077"/>
    <w:rsid w:val="001913F6"/>
    <w:rsid w:val="00193951"/>
    <w:rsid w:val="00195508"/>
    <w:rsid w:val="0019636D"/>
    <w:rsid w:val="00196615"/>
    <w:rsid w:val="00197613"/>
    <w:rsid w:val="001A00DE"/>
    <w:rsid w:val="001A0E4D"/>
    <w:rsid w:val="001A1BAB"/>
    <w:rsid w:val="001A1E49"/>
    <w:rsid w:val="001A3642"/>
    <w:rsid w:val="001A36C6"/>
    <w:rsid w:val="001A3C85"/>
    <w:rsid w:val="001A3E1C"/>
    <w:rsid w:val="001A3FED"/>
    <w:rsid w:val="001A6858"/>
    <w:rsid w:val="001A7493"/>
    <w:rsid w:val="001B0144"/>
    <w:rsid w:val="001B41D7"/>
    <w:rsid w:val="001B5082"/>
    <w:rsid w:val="001B5A16"/>
    <w:rsid w:val="001B669D"/>
    <w:rsid w:val="001C04C6"/>
    <w:rsid w:val="001C0D50"/>
    <w:rsid w:val="001C110E"/>
    <w:rsid w:val="001C24C0"/>
    <w:rsid w:val="001C4A41"/>
    <w:rsid w:val="001C5088"/>
    <w:rsid w:val="001C7FDB"/>
    <w:rsid w:val="001D1165"/>
    <w:rsid w:val="001D1D53"/>
    <w:rsid w:val="001D322F"/>
    <w:rsid w:val="001D48C9"/>
    <w:rsid w:val="001D49A6"/>
    <w:rsid w:val="001D6DB6"/>
    <w:rsid w:val="001D75AD"/>
    <w:rsid w:val="001E2949"/>
    <w:rsid w:val="001E349C"/>
    <w:rsid w:val="001E3D6F"/>
    <w:rsid w:val="001E5A2B"/>
    <w:rsid w:val="001E6419"/>
    <w:rsid w:val="001E6547"/>
    <w:rsid w:val="001E663A"/>
    <w:rsid w:val="001E6F98"/>
    <w:rsid w:val="001E71FB"/>
    <w:rsid w:val="001E730A"/>
    <w:rsid w:val="001F1548"/>
    <w:rsid w:val="001F5082"/>
    <w:rsid w:val="001F555E"/>
    <w:rsid w:val="001F57BD"/>
    <w:rsid w:val="001F728D"/>
    <w:rsid w:val="002020A7"/>
    <w:rsid w:val="002051F0"/>
    <w:rsid w:val="002061A7"/>
    <w:rsid w:val="00210530"/>
    <w:rsid w:val="00210AB6"/>
    <w:rsid w:val="00211269"/>
    <w:rsid w:val="0021195D"/>
    <w:rsid w:val="00211C18"/>
    <w:rsid w:val="002129DA"/>
    <w:rsid w:val="00214651"/>
    <w:rsid w:val="00214F66"/>
    <w:rsid w:val="002204D4"/>
    <w:rsid w:val="002208F9"/>
    <w:rsid w:val="00221C91"/>
    <w:rsid w:val="002222AA"/>
    <w:rsid w:val="00222C44"/>
    <w:rsid w:val="00222E38"/>
    <w:rsid w:val="00223F49"/>
    <w:rsid w:val="00224FE5"/>
    <w:rsid w:val="0022565E"/>
    <w:rsid w:val="002278AD"/>
    <w:rsid w:val="00227E5B"/>
    <w:rsid w:val="0023030D"/>
    <w:rsid w:val="002321E2"/>
    <w:rsid w:val="00232231"/>
    <w:rsid w:val="00232820"/>
    <w:rsid w:val="00233DC7"/>
    <w:rsid w:val="00234B0A"/>
    <w:rsid w:val="00234B56"/>
    <w:rsid w:val="00236122"/>
    <w:rsid w:val="00236642"/>
    <w:rsid w:val="002401C0"/>
    <w:rsid w:val="00240620"/>
    <w:rsid w:val="00240FEA"/>
    <w:rsid w:val="0024268C"/>
    <w:rsid w:val="0024271B"/>
    <w:rsid w:val="0024316F"/>
    <w:rsid w:val="00243258"/>
    <w:rsid w:val="00243B8A"/>
    <w:rsid w:val="0024685A"/>
    <w:rsid w:val="00246883"/>
    <w:rsid w:val="00247779"/>
    <w:rsid w:val="002507C5"/>
    <w:rsid w:val="00250A3A"/>
    <w:rsid w:val="00250B3E"/>
    <w:rsid w:val="00250F97"/>
    <w:rsid w:val="00251812"/>
    <w:rsid w:val="00251C1A"/>
    <w:rsid w:val="00251F50"/>
    <w:rsid w:val="00252968"/>
    <w:rsid w:val="00254540"/>
    <w:rsid w:val="00254627"/>
    <w:rsid w:val="002549A2"/>
    <w:rsid w:val="00254A4A"/>
    <w:rsid w:val="00254C90"/>
    <w:rsid w:val="00254CCE"/>
    <w:rsid w:val="002551DC"/>
    <w:rsid w:val="002572E4"/>
    <w:rsid w:val="002637EC"/>
    <w:rsid w:val="0026421A"/>
    <w:rsid w:val="002668EC"/>
    <w:rsid w:val="00267315"/>
    <w:rsid w:val="00272056"/>
    <w:rsid w:val="002725A9"/>
    <w:rsid w:val="002731B8"/>
    <w:rsid w:val="0027322D"/>
    <w:rsid w:val="00273ED5"/>
    <w:rsid w:val="002741A1"/>
    <w:rsid w:val="00274494"/>
    <w:rsid w:val="00276759"/>
    <w:rsid w:val="00276B31"/>
    <w:rsid w:val="002807D5"/>
    <w:rsid w:val="00280E71"/>
    <w:rsid w:val="00281D44"/>
    <w:rsid w:val="002844BC"/>
    <w:rsid w:val="00285BEE"/>
    <w:rsid w:val="002864D1"/>
    <w:rsid w:val="00286A22"/>
    <w:rsid w:val="00287F1C"/>
    <w:rsid w:val="00291D96"/>
    <w:rsid w:val="0029218E"/>
    <w:rsid w:val="00293F01"/>
    <w:rsid w:val="002942D9"/>
    <w:rsid w:val="0029533F"/>
    <w:rsid w:val="002958D7"/>
    <w:rsid w:val="00296BB5"/>
    <w:rsid w:val="00297081"/>
    <w:rsid w:val="0029760B"/>
    <w:rsid w:val="00297E28"/>
    <w:rsid w:val="002A0901"/>
    <w:rsid w:val="002A11F1"/>
    <w:rsid w:val="002A1DD0"/>
    <w:rsid w:val="002A3A20"/>
    <w:rsid w:val="002A3C59"/>
    <w:rsid w:val="002A3DBD"/>
    <w:rsid w:val="002A3E72"/>
    <w:rsid w:val="002A40E0"/>
    <w:rsid w:val="002A5213"/>
    <w:rsid w:val="002A6262"/>
    <w:rsid w:val="002A68E4"/>
    <w:rsid w:val="002A6963"/>
    <w:rsid w:val="002A6C67"/>
    <w:rsid w:val="002A70E5"/>
    <w:rsid w:val="002B083F"/>
    <w:rsid w:val="002B1F4A"/>
    <w:rsid w:val="002B20A7"/>
    <w:rsid w:val="002B2C44"/>
    <w:rsid w:val="002B30AF"/>
    <w:rsid w:val="002B4085"/>
    <w:rsid w:val="002B5BD9"/>
    <w:rsid w:val="002B638B"/>
    <w:rsid w:val="002B7339"/>
    <w:rsid w:val="002C510A"/>
    <w:rsid w:val="002C5477"/>
    <w:rsid w:val="002C5932"/>
    <w:rsid w:val="002C7F9A"/>
    <w:rsid w:val="002D2038"/>
    <w:rsid w:val="002D3136"/>
    <w:rsid w:val="002D35CD"/>
    <w:rsid w:val="002D45A0"/>
    <w:rsid w:val="002D4A63"/>
    <w:rsid w:val="002D5531"/>
    <w:rsid w:val="002D5A45"/>
    <w:rsid w:val="002D5A4B"/>
    <w:rsid w:val="002D6240"/>
    <w:rsid w:val="002D6417"/>
    <w:rsid w:val="002D7130"/>
    <w:rsid w:val="002D74E6"/>
    <w:rsid w:val="002D78E3"/>
    <w:rsid w:val="002E1895"/>
    <w:rsid w:val="002E3DE8"/>
    <w:rsid w:val="002E4A4A"/>
    <w:rsid w:val="002E5774"/>
    <w:rsid w:val="002E57E1"/>
    <w:rsid w:val="002E6253"/>
    <w:rsid w:val="002E64D2"/>
    <w:rsid w:val="002E6FB3"/>
    <w:rsid w:val="002E7159"/>
    <w:rsid w:val="002F0BAA"/>
    <w:rsid w:val="002F161C"/>
    <w:rsid w:val="002F2397"/>
    <w:rsid w:val="002F2480"/>
    <w:rsid w:val="002F25DD"/>
    <w:rsid w:val="002F2E6F"/>
    <w:rsid w:val="002F4376"/>
    <w:rsid w:val="002F47F6"/>
    <w:rsid w:val="002F4C67"/>
    <w:rsid w:val="002F6DE1"/>
    <w:rsid w:val="002F788A"/>
    <w:rsid w:val="002F7E7C"/>
    <w:rsid w:val="0030025B"/>
    <w:rsid w:val="00300A9D"/>
    <w:rsid w:val="00301DDD"/>
    <w:rsid w:val="00302B68"/>
    <w:rsid w:val="00302BCD"/>
    <w:rsid w:val="00303AC6"/>
    <w:rsid w:val="00304FF4"/>
    <w:rsid w:val="0030605B"/>
    <w:rsid w:val="00306913"/>
    <w:rsid w:val="003070FE"/>
    <w:rsid w:val="00307522"/>
    <w:rsid w:val="00307557"/>
    <w:rsid w:val="00307838"/>
    <w:rsid w:val="003123EA"/>
    <w:rsid w:val="00312A7E"/>
    <w:rsid w:val="0031509B"/>
    <w:rsid w:val="003158E9"/>
    <w:rsid w:val="00316492"/>
    <w:rsid w:val="0031680B"/>
    <w:rsid w:val="00316975"/>
    <w:rsid w:val="003172CC"/>
    <w:rsid w:val="00317D2D"/>
    <w:rsid w:val="00317E1D"/>
    <w:rsid w:val="00320081"/>
    <w:rsid w:val="00322220"/>
    <w:rsid w:val="0032230B"/>
    <w:rsid w:val="003228DA"/>
    <w:rsid w:val="003258B0"/>
    <w:rsid w:val="00325955"/>
    <w:rsid w:val="00327F3B"/>
    <w:rsid w:val="00330881"/>
    <w:rsid w:val="003310EF"/>
    <w:rsid w:val="0033147E"/>
    <w:rsid w:val="0033165C"/>
    <w:rsid w:val="00331762"/>
    <w:rsid w:val="00332179"/>
    <w:rsid w:val="003322C6"/>
    <w:rsid w:val="00332A67"/>
    <w:rsid w:val="00332D9D"/>
    <w:rsid w:val="0033344A"/>
    <w:rsid w:val="00333505"/>
    <w:rsid w:val="00335019"/>
    <w:rsid w:val="00335427"/>
    <w:rsid w:val="00335620"/>
    <w:rsid w:val="003357A9"/>
    <w:rsid w:val="00336D4D"/>
    <w:rsid w:val="003410D7"/>
    <w:rsid w:val="00341498"/>
    <w:rsid w:val="003425A6"/>
    <w:rsid w:val="00343096"/>
    <w:rsid w:val="0034555E"/>
    <w:rsid w:val="00345BCD"/>
    <w:rsid w:val="003468AD"/>
    <w:rsid w:val="00346F3B"/>
    <w:rsid w:val="00347DF3"/>
    <w:rsid w:val="00350279"/>
    <w:rsid w:val="0035333A"/>
    <w:rsid w:val="00354FBC"/>
    <w:rsid w:val="0035544C"/>
    <w:rsid w:val="00355588"/>
    <w:rsid w:val="0035568E"/>
    <w:rsid w:val="00360147"/>
    <w:rsid w:val="00360531"/>
    <w:rsid w:val="00360579"/>
    <w:rsid w:val="003612ED"/>
    <w:rsid w:val="00361C3E"/>
    <w:rsid w:val="00361DAE"/>
    <w:rsid w:val="003623BE"/>
    <w:rsid w:val="00363B6E"/>
    <w:rsid w:val="00363C1A"/>
    <w:rsid w:val="0036455D"/>
    <w:rsid w:val="00364FD5"/>
    <w:rsid w:val="003668AF"/>
    <w:rsid w:val="00366DEE"/>
    <w:rsid w:val="00367A6A"/>
    <w:rsid w:val="00367FDF"/>
    <w:rsid w:val="0037036A"/>
    <w:rsid w:val="00372E80"/>
    <w:rsid w:val="00372FDE"/>
    <w:rsid w:val="003755D0"/>
    <w:rsid w:val="00377580"/>
    <w:rsid w:val="003814D7"/>
    <w:rsid w:val="0038196E"/>
    <w:rsid w:val="00382B2C"/>
    <w:rsid w:val="003830E2"/>
    <w:rsid w:val="0038383A"/>
    <w:rsid w:val="00386BFD"/>
    <w:rsid w:val="00390225"/>
    <w:rsid w:val="0039025A"/>
    <w:rsid w:val="00390AA3"/>
    <w:rsid w:val="00392D40"/>
    <w:rsid w:val="003949BE"/>
    <w:rsid w:val="00394F51"/>
    <w:rsid w:val="00395950"/>
    <w:rsid w:val="0039628D"/>
    <w:rsid w:val="003964C0"/>
    <w:rsid w:val="0039689C"/>
    <w:rsid w:val="00397C30"/>
    <w:rsid w:val="003A0CF6"/>
    <w:rsid w:val="003A0F6D"/>
    <w:rsid w:val="003A1180"/>
    <w:rsid w:val="003A1415"/>
    <w:rsid w:val="003A70DC"/>
    <w:rsid w:val="003B08A5"/>
    <w:rsid w:val="003B123C"/>
    <w:rsid w:val="003B168E"/>
    <w:rsid w:val="003B1740"/>
    <w:rsid w:val="003B3586"/>
    <w:rsid w:val="003B3D62"/>
    <w:rsid w:val="003B46BB"/>
    <w:rsid w:val="003B48EA"/>
    <w:rsid w:val="003B4AA1"/>
    <w:rsid w:val="003B654D"/>
    <w:rsid w:val="003B677F"/>
    <w:rsid w:val="003B7132"/>
    <w:rsid w:val="003B7338"/>
    <w:rsid w:val="003B76BB"/>
    <w:rsid w:val="003C159A"/>
    <w:rsid w:val="003C3A79"/>
    <w:rsid w:val="003C40E3"/>
    <w:rsid w:val="003C457F"/>
    <w:rsid w:val="003C4739"/>
    <w:rsid w:val="003C497B"/>
    <w:rsid w:val="003C54EF"/>
    <w:rsid w:val="003C6164"/>
    <w:rsid w:val="003C6649"/>
    <w:rsid w:val="003D0A4A"/>
    <w:rsid w:val="003D0D3E"/>
    <w:rsid w:val="003D0DBE"/>
    <w:rsid w:val="003D12E5"/>
    <w:rsid w:val="003D19BF"/>
    <w:rsid w:val="003D1ABD"/>
    <w:rsid w:val="003D272B"/>
    <w:rsid w:val="003D2F27"/>
    <w:rsid w:val="003D32AB"/>
    <w:rsid w:val="003D3FA0"/>
    <w:rsid w:val="003D512F"/>
    <w:rsid w:val="003D53B9"/>
    <w:rsid w:val="003D56D1"/>
    <w:rsid w:val="003D5B3B"/>
    <w:rsid w:val="003D653B"/>
    <w:rsid w:val="003D6695"/>
    <w:rsid w:val="003D6E76"/>
    <w:rsid w:val="003D7CC4"/>
    <w:rsid w:val="003E101A"/>
    <w:rsid w:val="003E168B"/>
    <w:rsid w:val="003E1E47"/>
    <w:rsid w:val="003E22ED"/>
    <w:rsid w:val="003E2458"/>
    <w:rsid w:val="003E379D"/>
    <w:rsid w:val="003E38A7"/>
    <w:rsid w:val="003E59A6"/>
    <w:rsid w:val="003F04A9"/>
    <w:rsid w:val="003F054B"/>
    <w:rsid w:val="003F07D5"/>
    <w:rsid w:val="003F0E0A"/>
    <w:rsid w:val="003F0E7D"/>
    <w:rsid w:val="003F119C"/>
    <w:rsid w:val="003F134B"/>
    <w:rsid w:val="003F17A7"/>
    <w:rsid w:val="003F2397"/>
    <w:rsid w:val="003F2A4E"/>
    <w:rsid w:val="003F6169"/>
    <w:rsid w:val="003F61D5"/>
    <w:rsid w:val="003F6791"/>
    <w:rsid w:val="003F6A15"/>
    <w:rsid w:val="003F7C32"/>
    <w:rsid w:val="00400CBB"/>
    <w:rsid w:val="004011A8"/>
    <w:rsid w:val="0040265A"/>
    <w:rsid w:val="00403481"/>
    <w:rsid w:val="00403EDF"/>
    <w:rsid w:val="00404070"/>
    <w:rsid w:val="004042B3"/>
    <w:rsid w:val="00404472"/>
    <w:rsid w:val="00404720"/>
    <w:rsid w:val="00404C03"/>
    <w:rsid w:val="00405FE4"/>
    <w:rsid w:val="00406FA4"/>
    <w:rsid w:val="0040767A"/>
    <w:rsid w:val="00410FF4"/>
    <w:rsid w:val="004120FB"/>
    <w:rsid w:val="004125B6"/>
    <w:rsid w:val="00412B06"/>
    <w:rsid w:val="00412E69"/>
    <w:rsid w:val="0041327D"/>
    <w:rsid w:val="00413616"/>
    <w:rsid w:val="004148E4"/>
    <w:rsid w:val="00415596"/>
    <w:rsid w:val="004166E2"/>
    <w:rsid w:val="00423106"/>
    <w:rsid w:val="00423F36"/>
    <w:rsid w:val="00425CB0"/>
    <w:rsid w:val="0042648E"/>
    <w:rsid w:val="00430E04"/>
    <w:rsid w:val="004324AC"/>
    <w:rsid w:val="004334CD"/>
    <w:rsid w:val="00433C8B"/>
    <w:rsid w:val="0043440D"/>
    <w:rsid w:val="00434902"/>
    <w:rsid w:val="0043576B"/>
    <w:rsid w:val="00440114"/>
    <w:rsid w:val="00440F15"/>
    <w:rsid w:val="0044163A"/>
    <w:rsid w:val="00442363"/>
    <w:rsid w:val="00442BD5"/>
    <w:rsid w:val="0044402D"/>
    <w:rsid w:val="00444D6A"/>
    <w:rsid w:val="00444ED0"/>
    <w:rsid w:val="00445C79"/>
    <w:rsid w:val="00445CF5"/>
    <w:rsid w:val="004460E0"/>
    <w:rsid w:val="004463A0"/>
    <w:rsid w:val="00455298"/>
    <w:rsid w:val="00455ACB"/>
    <w:rsid w:val="00455DEA"/>
    <w:rsid w:val="00456568"/>
    <w:rsid w:val="00456E9D"/>
    <w:rsid w:val="004606FF"/>
    <w:rsid w:val="0046156D"/>
    <w:rsid w:val="00461F51"/>
    <w:rsid w:val="00462648"/>
    <w:rsid w:val="0046300B"/>
    <w:rsid w:val="00463A80"/>
    <w:rsid w:val="00463DC4"/>
    <w:rsid w:val="00464D36"/>
    <w:rsid w:val="004651AB"/>
    <w:rsid w:val="00466548"/>
    <w:rsid w:val="00467043"/>
    <w:rsid w:val="00467CF7"/>
    <w:rsid w:val="00470A92"/>
    <w:rsid w:val="0047201A"/>
    <w:rsid w:val="00473E34"/>
    <w:rsid w:val="0047451A"/>
    <w:rsid w:val="00475C92"/>
    <w:rsid w:val="004769E0"/>
    <w:rsid w:val="00477DBD"/>
    <w:rsid w:val="0048053F"/>
    <w:rsid w:val="00480C8E"/>
    <w:rsid w:val="00481F76"/>
    <w:rsid w:val="00482405"/>
    <w:rsid w:val="00482F21"/>
    <w:rsid w:val="00482F37"/>
    <w:rsid w:val="00482FF9"/>
    <w:rsid w:val="00483531"/>
    <w:rsid w:val="00483998"/>
    <w:rsid w:val="0048654F"/>
    <w:rsid w:val="004867C6"/>
    <w:rsid w:val="00487CF9"/>
    <w:rsid w:val="00490085"/>
    <w:rsid w:val="00490146"/>
    <w:rsid w:val="00490242"/>
    <w:rsid w:val="0049089E"/>
    <w:rsid w:val="00491100"/>
    <w:rsid w:val="00491917"/>
    <w:rsid w:val="004926FF"/>
    <w:rsid w:val="00492B2C"/>
    <w:rsid w:val="004932AA"/>
    <w:rsid w:val="004936D2"/>
    <w:rsid w:val="0049394A"/>
    <w:rsid w:val="00494138"/>
    <w:rsid w:val="004946D9"/>
    <w:rsid w:val="0049595E"/>
    <w:rsid w:val="00496D9D"/>
    <w:rsid w:val="00497234"/>
    <w:rsid w:val="004A1B33"/>
    <w:rsid w:val="004A22BA"/>
    <w:rsid w:val="004A2659"/>
    <w:rsid w:val="004A2849"/>
    <w:rsid w:val="004A29AB"/>
    <w:rsid w:val="004A33A6"/>
    <w:rsid w:val="004A3CAC"/>
    <w:rsid w:val="004A4A63"/>
    <w:rsid w:val="004A50B1"/>
    <w:rsid w:val="004A6AEE"/>
    <w:rsid w:val="004B3A1B"/>
    <w:rsid w:val="004B3C59"/>
    <w:rsid w:val="004B3CDC"/>
    <w:rsid w:val="004B4538"/>
    <w:rsid w:val="004B57DA"/>
    <w:rsid w:val="004B6819"/>
    <w:rsid w:val="004B6D45"/>
    <w:rsid w:val="004B7A5F"/>
    <w:rsid w:val="004B7FC5"/>
    <w:rsid w:val="004C0A56"/>
    <w:rsid w:val="004C172C"/>
    <w:rsid w:val="004C22B2"/>
    <w:rsid w:val="004C3653"/>
    <w:rsid w:val="004C3FC9"/>
    <w:rsid w:val="004C4923"/>
    <w:rsid w:val="004C4B3A"/>
    <w:rsid w:val="004C52D8"/>
    <w:rsid w:val="004C5728"/>
    <w:rsid w:val="004C5CB9"/>
    <w:rsid w:val="004C5F16"/>
    <w:rsid w:val="004C6046"/>
    <w:rsid w:val="004D0F79"/>
    <w:rsid w:val="004D1F07"/>
    <w:rsid w:val="004D2989"/>
    <w:rsid w:val="004D44FE"/>
    <w:rsid w:val="004D4E90"/>
    <w:rsid w:val="004D5851"/>
    <w:rsid w:val="004D5EB2"/>
    <w:rsid w:val="004D66FC"/>
    <w:rsid w:val="004D7566"/>
    <w:rsid w:val="004E1E73"/>
    <w:rsid w:val="004E22C1"/>
    <w:rsid w:val="004E2503"/>
    <w:rsid w:val="004E2FDB"/>
    <w:rsid w:val="004E39FE"/>
    <w:rsid w:val="004E3D9C"/>
    <w:rsid w:val="004E450C"/>
    <w:rsid w:val="004E51C9"/>
    <w:rsid w:val="004F08F0"/>
    <w:rsid w:val="004F0E1B"/>
    <w:rsid w:val="004F1739"/>
    <w:rsid w:val="004F232F"/>
    <w:rsid w:val="004F4A32"/>
    <w:rsid w:val="004F5978"/>
    <w:rsid w:val="004F6ED3"/>
    <w:rsid w:val="004F7A61"/>
    <w:rsid w:val="004F7AB8"/>
    <w:rsid w:val="0050104B"/>
    <w:rsid w:val="00502CAD"/>
    <w:rsid w:val="00503487"/>
    <w:rsid w:val="00503565"/>
    <w:rsid w:val="0051011A"/>
    <w:rsid w:val="005105F7"/>
    <w:rsid w:val="005109A0"/>
    <w:rsid w:val="00510FCF"/>
    <w:rsid w:val="00512048"/>
    <w:rsid w:val="00513C0A"/>
    <w:rsid w:val="0051412D"/>
    <w:rsid w:val="005163D4"/>
    <w:rsid w:val="00517EC4"/>
    <w:rsid w:val="00520CAE"/>
    <w:rsid w:val="00522287"/>
    <w:rsid w:val="00522982"/>
    <w:rsid w:val="00523AC0"/>
    <w:rsid w:val="00525576"/>
    <w:rsid w:val="00526344"/>
    <w:rsid w:val="005263AF"/>
    <w:rsid w:val="005273DA"/>
    <w:rsid w:val="0053083F"/>
    <w:rsid w:val="00530A32"/>
    <w:rsid w:val="00530D9A"/>
    <w:rsid w:val="0053118C"/>
    <w:rsid w:val="005311C8"/>
    <w:rsid w:val="00534C6C"/>
    <w:rsid w:val="00535AD4"/>
    <w:rsid w:val="00535F12"/>
    <w:rsid w:val="0053645A"/>
    <w:rsid w:val="00537EAB"/>
    <w:rsid w:val="005400B3"/>
    <w:rsid w:val="00540C4D"/>
    <w:rsid w:val="005418B1"/>
    <w:rsid w:val="0054376B"/>
    <w:rsid w:val="00543AE6"/>
    <w:rsid w:val="005454D3"/>
    <w:rsid w:val="00552758"/>
    <w:rsid w:val="005531D5"/>
    <w:rsid w:val="005534F9"/>
    <w:rsid w:val="005546DC"/>
    <w:rsid w:val="00554959"/>
    <w:rsid w:val="00555AE9"/>
    <w:rsid w:val="00555BFB"/>
    <w:rsid w:val="00556119"/>
    <w:rsid w:val="00557CD6"/>
    <w:rsid w:val="00564995"/>
    <w:rsid w:val="00564F83"/>
    <w:rsid w:val="00566474"/>
    <w:rsid w:val="005673FF"/>
    <w:rsid w:val="005676A7"/>
    <w:rsid w:val="005703B4"/>
    <w:rsid w:val="0057211F"/>
    <w:rsid w:val="00572D72"/>
    <w:rsid w:val="00573098"/>
    <w:rsid w:val="00574202"/>
    <w:rsid w:val="00574BAB"/>
    <w:rsid w:val="0057573A"/>
    <w:rsid w:val="00575BFA"/>
    <w:rsid w:val="005811D2"/>
    <w:rsid w:val="0058225C"/>
    <w:rsid w:val="00582A9D"/>
    <w:rsid w:val="00585717"/>
    <w:rsid w:val="0058700C"/>
    <w:rsid w:val="0058753D"/>
    <w:rsid w:val="005901E4"/>
    <w:rsid w:val="005928AB"/>
    <w:rsid w:val="00593298"/>
    <w:rsid w:val="00594115"/>
    <w:rsid w:val="005945F3"/>
    <w:rsid w:val="005952D9"/>
    <w:rsid w:val="00595712"/>
    <w:rsid w:val="0059579D"/>
    <w:rsid w:val="0059636B"/>
    <w:rsid w:val="005963F4"/>
    <w:rsid w:val="00596DF2"/>
    <w:rsid w:val="00597076"/>
    <w:rsid w:val="005A0491"/>
    <w:rsid w:val="005A0E6B"/>
    <w:rsid w:val="005A1457"/>
    <w:rsid w:val="005A1CF7"/>
    <w:rsid w:val="005A317B"/>
    <w:rsid w:val="005A4618"/>
    <w:rsid w:val="005A53CB"/>
    <w:rsid w:val="005A68EA"/>
    <w:rsid w:val="005A76A2"/>
    <w:rsid w:val="005A786C"/>
    <w:rsid w:val="005B1C04"/>
    <w:rsid w:val="005B1EB6"/>
    <w:rsid w:val="005B25F3"/>
    <w:rsid w:val="005B398B"/>
    <w:rsid w:val="005B5427"/>
    <w:rsid w:val="005B54AB"/>
    <w:rsid w:val="005B66AE"/>
    <w:rsid w:val="005B7488"/>
    <w:rsid w:val="005C0C74"/>
    <w:rsid w:val="005C154A"/>
    <w:rsid w:val="005C1938"/>
    <w:rsid w:val="005C1FB6"/>
    <w:rsid w:val="005C219E"/>
    <w:rsid w:val="005C24F7"/>
    <w:rsid w:val="005C3996"/>
    <w:rsid w:val="005C3F72"/>
    <w:rsid w:val="005C44D6"/>
    <w:rsid w:val="005C4ED1"/>
    <w:rsid w:val="005C5519"/>
    <w:rsid w:val="005C5A7D"/>
    <w:rsid w:val="005C66B7"/>
    <w:rsid w:val="005C7265"/>
    <w:rsid w:val="005C7492"/>
    <w:rsid w:val="005C7B50"/>
    <w:rsid w:val="005C7B9A"/>
    <w:rsid w:val="005D02CD"/>
    <w:rsid w:val="005D1095"/>
    <w:rsid w:val="005D15F0"/>
    <w:rsid w:val="005D2246"/>
    <w:rsid w:val="005D364F"/>
    <w:rsid w:val="005D543C"/>
    <w:rsid w:val="005D6197"/>
    <w:rsid w:val="005D6F8D"/>
    <w:rsid w:val="005E11DE"/>
    <w:rsid w:val="005E2419"/>
    <w:rsid w:val="005E3441"/>
    <w:rsid w:val="005E44FC"/>
    <w:rsid w:val="005E6358"/>
    <w:rsid w:val="005E7807"/>
    <w:rsid w:val="005F01B8"/>
    <w:rsid w:val="005F04B7"/>
    <w:rsid w:val="005F25E7"/>
    <w:rsid w:val="005F2D87"/>
    <w:rsid w:val="005F32C4"/>
    <w:rsid w:val="005F3FF5"/>
    <w:rsid w:val="005F5E08"/>
    <w:rsid w:val="005F5FFF"/>
    <w:rsid w:val="005F6A0A"/>
    <w:rsid w:val="005F7750"/>
    <w:rsid w:val="006028A4"/>
    <w:rsid w:val="00603919"/>
    <w:rsid w:val="006050EA"/>
    <w:rsid w:val="006069FC"/>
    <w:rsid w:val="0060716E"/>
    <w:rsid w:val="00610291"/>
    <w:rsid w:val="00611B18"/>
    <w:rsid w:val="00612E78"/>
    <w:rsid w:val="00615DF2"/>
    <w:rsid w:val="006174D9"/>
    <w:rsid w:val="00617A01"/>
    <w:rsid w:val="006209EC"/>
    <w:rsid w:val="0062171D"/>
    <w:rsid w:val="00621911"/>
    <w:rsid w:val="00622968"/>
    <w:rsid w:val="00625A2B"/>
    <w:rsid w:val="00627D55"/>
    <w:rsid w:val="0063035C"/>
    <w:rsid w:val="0063044F"/>
    <w:rsid w:val="00630F87"/>
    <w:rsid w:val="00631DEE"/>
    <w:rsid w:val="00632F62"/>
    <w:rsid w:val="006335F5"/>
    <w:rsid w:val="00634145"/>
    <w:rsid w:val="00634442"/>
    <w:rsid w:val="00635AAC"/>
    <w:rsid w:val="00635E6E"/>
    <w:rsid w:val="006365A1"/>
    <w:rsid w:val="006400B9"/>
    <w:rsid w:val="00641138"/>
    <w:rsid w:val="006428A0"/>
    <w:rsid w:val="006429B7"/>
    <w:rsid w:val="00644C58"/>
    <w:rsid w:val="00645B5D"/>
    <w:rsid w:val="00646530"/>
    <w:rsid w:val="006465CB"/>
    <w:rsid w:val="006468FB"/>
    <w:rsid w:val="00646994"/>
    <w:rsid w:val="006477A0"/>
    <w:rsid w:val="00650168"/>
    <w:rsid w:val="00650A9F"/>
    <w:rsid w:val="00651D5A"/>
    <w:rsid w:val="00651E20"/>
    <w:rsid w:val="006526C4"/>
    <w:rsid w:val="00652AC8"/>
    <w:rsid w:val="00653CEC"/>
    <w:rsid w:val="00654495"/>
    <w:rsid w:val="006547B7"/>
    <w:rsid w:val="00654986"/>
    <w:rsid w:val="00654BC1"/>
    <w:rsid w:val="006564BA"/>
    <w:rsid w:val="00656B4A"/>
    <w:rsid w:val="006573AB"/>
    <w:rsid w:val="006604C3"/>
    <w:rsid w:val="00660C48"/>
    <w:rsid w:val="00660F10"/>
    <w:rsid w:val="00663551"/>
    <w:rsid w:val="006651A7"/>
    <w:rsid w:val="00665437"/>
    <w:rsid w:val="0066713A"/>
    <w:rsid w:val="006673F2"/>
    <w:rsid w:val="0067092D"/>
    <w:rsid w:val="006709FB"/>
    <w:rsid w:val="00671228"/>
    <w:rsid w:val="00671ADA"/>
    <w:rsid w:val="0067378C"/>
    <w:rsid w:val="006738DD"/>
    <w:rsid w:val="00675664"/>
    <w:rsid w:val="00675927"/>
    <w:rsid w:val="00675C8A"/>
    <w:rsid w:val="00677A82"/>
    <w:rsid w:val="0068018D"/>
    <w:rsid w:val="00681245"/>
    <w:rsid w:val="00681D8F"/>
    <w:rsid w:val="0068218C"/>
    <w:rsid w:val="00683DE0"/>
    <w:rsid w:val="006840D3"/>
    <w:rsid w:val="00684828"/>
    <w:rsid w:val="0068502A"/>
    <w:rsid w:val="00685E5A"/>
    <w:rsid w:val="00686734"/>
    <w:rsid w:val="00687B11"/>
    <w:rsid w:val="00687DEF"/>
    <w:rsid w:val="00691796"/>
    <w:rsid w:val="0069237F"/>
    <w:rsid w:val="00692DD5"/>
    <w:rsid w:val="00693114"/>
    <w:rsid w:val="00693492"/>
    <w:rsid w:val="006943A5"/>
    <w:rsid w:val="006947B2"/>
    <w:rsid w:val="00694A47"/>
    <w:rsid w:val="00695002"/>
    <w:rsid w:val="006954C7"/>
    <w:rsid w:val="00695703"/>
    <w:rsid w:val="00696152"/>
    <w:rsid w:val="006A3B7C"/>
    <w:rsid w:val="006A4008"/>
    <w:rsid w:val="006A4309"/>
    <w:rsid w:val="006A4B35"/>
    <w:rsid w:val="006A5D8A"/>
    <w:rsid w:val="006A6623"/>
    <w:rsid w:val="006A6DD5"/>
    <w:rsid w:val="006B0801"/>
    <w:rsid w:val="006B1635"/>
    <w:rsid w:val="006B4681"/>
    <w:rsid w:val="006B7206"/>
    <w:rsid w:val="006B7D7C"/>
    <w:rsid w:val="006C0374"/>
    <w:rsid w:val="006C04C6"/>
    <w:rsid w:val="006C0D04"/>
    <w:rsid w:val="006C0D44"/>
    <w:rsid w:val="006C1B98"/>
    <w:rsid w:val="006C4013"/>
    <w:rsid w:val="006C4B90"/>
    <w:rsid w:val="006C547F"/>
    <w:rsid w:val="006C5A81"/>
    <w:rsid w:val="006C5FDA"/>
    <w:rsid w:val="006C616B"/>
    <w:rsid w:val="006C64A8"/>
    <w:rsid w:val="006C7D56"/>
    <w:rsid w:val="006D006D"/>
    <w:rsid w:val="006D042E"/>
    <w:rsid w:val="006D1A37"/>
    <w:rsid w:val="006D1B32"/>
    <w:rsid w:val="006D42E4"/>
    <w:rsid w:val="006D4CE8"/>
    <w:rsid w:val="006D4EB6"/>
    <w:rsid w:val="006D500E"/>
    <w:rsid w:val="006E0ABC"/>
    <w:rsid w:val="006E0B21"/>
    <w:rsid w:val="006E3B6E"/>
    <w:rsid w:val="006E6721"/>
    <w:rsid w:val="006E6A67"/>
    <w:rsid w:val="006E7871"/>
    <w:rsid w:val="006F0E5A"/>
    <w:rsid w:val="006F583C"/>
    <w:rsid w:val="006F5FA5"/>
    <w:rsid w:val="006F703D"/>
    <w:rsid w:val="006F7232"/>
    <w:rsid w:val="007010DB"/>
    <w:rsid w:val="00701605"/>
    <w:rsid w:val="00702008"/>
    <w:rsid w:val="00702163"/>
    <w:rsid w:val="00703901"/>
    <w:rsid w:val="00703C0B"/>
    <w:rsid w:val="007041AF"/>
    <w:rsid w:val="007056E5"/>
    <w:rsid w:val="00705E88"/>
    <w:rsid w:val="00707F5A"/>
    <w:rsid w:val="007108EE"/>
    <w:rsid w:val="00710FCD"/>
    <w:rsid w:val="007117D9"/>
    <w:rsid w:val="00711A70"/>
    <w:rsid w:val="0071688F"/>
    <w:rsid w:val="00716A08"/>
    <w:rsid w:val="00720016"/>
    <w:rsid w:val="00720454"/>
    <w:rsid w:val="0072229F"/>
    <w:rsid w:val="00723E2A"/>
    <w:rsid w:val="00725D25"/>
    <w:rsid w:val="0072625B"/>
    <w:rsid w:val="0072685A"/>
    <w:rsid w:val="0072731F"/>
    <w:rsid w:val="00730229"/>
    <w:rsid w:val="00731F64"/>
    <w:rsid w:val="00732C2F"/>
    <w:rsid w:val="00732E7E"/>
    <w:rsid w:val="00733F22"/>
    <w:rsid w:val="007356EC"/>
    <w:rsid w:val="00735F99"/>
    <w:rsid w:val="00736340"/>
    <w:rsid w:val="00736C20"/>
    <w:rsid w:val="007374DD"/>
    <w:rsid w:val="007377EA"/>
    <w:rsid w:val="00740F64"/>
    <w:rsid w:val="007426F4"/>
    <w:rsid w:val="0074715C"/>
    <w:rsid w:val="00747D38"/>
    <w:rsid w:val="00750230"/>
    <w:rsid w:val="0075043F"/>
    <w:rsid w:val="00751A9B"/>
    <w:rsid w:val="00756787"/>
    <w:rsid w:val="00756D86"/>
    <w:rsid w:val="00757B3B"/>
    <w:rsid w:val="00761EE6"/>
    <w:rsid w:val="0076250C"/>
    <w:rsid w:val="007629BF"/>
    <w:rsid w:val="00762B70"/>
    <w:rsid w:val="00762CB2"/>
    <w:rsid w:val="00764D06"/>
    <w:rsid w:val="00766F49"/>
    <w:rsid w:val="007677E9"/>
    <w:rsid w:val="00770195"/>
    <w:rsid w:val="00770FBF"/>
    <w:rsid w:val="00772332"/>
    <w:rsid w:val="00773331"/>
    <w:rsid w:val="00774AF2"/>
    <w:rsid w:val="00774E17"/>
    <w:rsid w:val="00775187"/>
    <w:rsid w:val="00775ED6"/>
    <w:rsid w:val="00776473"/>
    <w:rsid w:val="007768C6"/>
    <w:rsid w:val="007814C4"/>
    <w:rsid w:val="00781BC0"/>
    <w:rsid w:val="00782747"/>
    <w:rsid w:val="007830DB"/>
    <w:rsid w:val="007836BD"/>
    <w:rsid w:val="00783EEB"/>
    <w:rsid w:val="007856B7"/>
    <w:rsid w:val="00786BFD"/>
    <w:rsid w:val="0078710D"/>
    <w:rsid w:val="0079049E"/>
    <w:rsid w:val="00790AD4"/>
    <w:rsid w:val="007932EF"/>
    <w:rsid w:val="00793B6F"/>
    <w:rsid w:val="00794278"/>
    <w:rsid w:val="00794413"/>
    <w:rsid w:val="007956E8"/>
    <w:rsid w:val="00796C1C"/>
    <w:rsid w:val="0079737E"/>
    <w:rsid w:val="00797FF2"/>
    <w:rsid w:val="007A1A7F"/>
    <w:rsid w:val="007A1D11"/>
    <w:rsid w:val="007A1FB8"/>
    <w:rsid w:val="007A2CE3"/>
    <w:rsid w:val="007A334D"/>
    <w:rsid w:val="007A5023"/>
    <w:rsid w:val="007A737D"/>
    <w:rsid w:val="007A74B4"/>
    <w:rsid w:val="007B26A4"/>
    <w:rsid w:val="007B2C1C"/>
    <w:rsid w:val="007B47E0"/>
    <w:rsid w:val="007B5053"/>
    <w:rsid w:val="007B5727"/>
    <w:rsid w:val="007B6BC9"/>
    <w:rsid w:val="007C1E27"/>
    <w:rsid w:val="007C373C"/>
    <w:rsid w:val="007C3E01"/>
    <w:rsid w:val="007C5C8E"/>
    <w:rsid w:val="007C712C"/>
    <w:rsid w:val="007C7B5C"/>
    <w:rsid w:val="007C7E4A"/>
    <w:rsid w:val="007D0DDF"/>
    <w:rsid w:val="007D2143"/>
    <w:rsid w:val="007D3127"/>
    <w:rsid w:val="007D338A"/>
    <w:rsid w:val="007D391F"/>
    <w:rsid w:val="007D4270"/>
    <w:rsid w:val="007D45AE"/>
    <w:rsid w:val="007D4C51"/>
    <w:rsid w:val="007D5358"/>
    <w:rsid w:val="007D6FBE"/>
    <w:rsid w:val="007D716A"/>
    <w:rsid w:val="007D7E9F"/>
    <w:rsid w:val="007E05B0"/>
    <w:rsid w:val="007E088E"/>
    <w:rsid w:val="007E1EEE"/>
    <w:rsid w:val="007E211A"/>
    <w:rsid w:val="007E2899"/>
    <w:rsid w:val="007E289E"/>
    <w:rsid w:val="007E3649"/>
    <w:rsid w:val="007E3D28"/>
    <w:rsid w:val="007E5F47"/>
    <w:rsid w:val="007E6D5E"/>
    <w:rsid w:val="007F0567"/>
    <w:rsid w:val="007F0849"/>
    <w:rsid w:val="007F241C"/>
    <w:rsid w:val="007F251F"/>
    <w:rsid w:val="007F34C6"/>
    <w:rsid w:val="007F3BB9"/>
    <w:rsid w:val="007F45C4"/>
    <w:rsid w:val="007F4F28"/>
    <w:rsid w:val="007F5BD7"/>
    <w:rsid w:val="007F6E76"/>
    <w:rsid w:val="007F6EC3"/>
    <w:rsid w:val="007F7F0A"/>
    <w:rsid w:val="00800492"/>
    <w:rsid w:val="0080076B"/>
    <w:rsid w:val="008007BF"/>
    <w:rsid w:val="00801654"/>
    <w:rsid w:val="00801AD2"/>
    <w:rsid w:val="00801FAA"/>
    <w:rsid w:val="00804BEC"/>
    <w:rsid w:val="00805849"/>
    <w:rsid w:val="00807783"/>
    <w:rsid w:val="008108CB"/>
    <w:rsid w:val="008114EF"/>
    <w:rsid w:val="008149FA"/>
    <w:rsid w:val="00814C1E"/>
    <w:rsid w:val="008150D3"/>
    <w:rsid w:val="00815EE5"/>
    <w:rsid w:val="00816C93"/>
    <w:rsid w:val="00820A11"/>
    <w:rsid w:val="0082195B"/>
    <w:rsid w:val="00821BF6"/>
    <w:rsid w:val="00822C77"/>
    <w:rsid w:val="00822EE5"/>
    <w:rsid w:val="00823049"/>
    <w:rsid w:val="00823837"/>
    <w:rsid w:val="00824476"/>
    <w:rsid w:val="00825FF1"/>
    <w:rsid w:val="008268D0"/>
    <w:rsid w:val="008268E9"/>
    <w:rsid w:val="00826CDD"/>
    <w:rsid w:val="008270FD"/>
    <w:rsid w:val="008273A2"/>
    <w:rsid w:val="00831E9F"/>
    <w:rsid w:val="00832659"/>
    <w:rsid w:val="00833220"/>
    <w:rsid w:val="0083357B"/>
    <w:rsid w:val="008340F1"/>
    <w:rsid w:val="00834260"/>
    <w:rsid w:val="00835C1D"/>
    <w:rsid w:val="00836702"/>
    <w:rsid w:val="008371C1"/>
    <w:rsid w:val="00837827"/>
    <w:rsid w:val="008408A2"/>
    <w:rsid w:val="00842CD2"/>
    <w:rsid w:val="00845526"/>
    <w:rsid w:val="00845C6A"/>
    <w:rsid w:val="008467FA"/>
    <w:rsid w:val="00847158"/>
    <w:rsid w:val="008501B9"/>
    <w:rsid w:val="00850289"/>
    <w:rsid w:val="00850D4A"/>
    <w:rsid w:val="00851177"/>
    <w:rsid w:val="00851A97"/>
    <w:rsid w:val="00852994"/>
    <w:rsid w:val="008531D1"/>
    <w:rsid w:val="00856301"/>
    <w:rsid w:val="00860FEC"/>
    <w:rsid w:val="008628A4"/>
    <w:rsid w:val="00862F2E"/>
    <w:rsid w:val="00863464"/>
    <w:rsid w:val="00864255"/>
    <w:rsid w:val="0086579A"/>
    <w:rsid w:val="00865DAE"/>
    <w:rsid w:val="00866AC4"/>
    <w:rsid w:val="00866C2F"/>
    <w:rsid w:val="00866F69"/>
    <w:rsid w:val="00867CCC"/>
    <w:rsid w:val="00870411"/>
    <w:rsid w:val="00870A37"/>
    <w:rsid w:val="00870C9E"/>
    <w:rsid w:val="00870D86"/>
    <w:rsid w:val="00870DB3"/>
    <w:rsid w:val="00872E3F"/>
    <w:rsid w:val="00873291"/>
    <w:rsid w:val="008738C6"/>
    <w:rsid w:val="008743DB"/>
    <w:rsid w:val="00874D22"/>
    <w:rsid w:val="008770E7"/>
    <w:rsid w:val="00877B7E"/>
    <w:rsid w:val="00877CD9"/>
    <w:rsid w:val="00880296"/>
    <w:rsid w:val="00880ACC"/>
    <w:rsid w:val="00881824"/>
    <w:rsid w:val="00881BE2"/>
    <w:rsid w:val="00883752"/>
    <w:rsid w:val="0088389F"/>
    <w:rsid w:val="008838AC"/>
    <w:rsid w:val="00883F82"/>
    <w:rsid w:val="008850E7"/>
    <w:rsid w:val="0088608E"/>
    <w:rsid w:val="008862A7"/>
    <w:rsid w:val="00886485"/>
    <w:rsid w:val="008906C5"/>
    <w:rsid w:val="00890B5F"/>
    <w:rsid w:val="00891CC8"/>
    <w:rsid w:val="00891DC6"/>
    <w:rsid w:val="008924BC"/>
    <w:rsid w:val="008926B9"/>
    <w:rsid w:val="0089654C"/>
    <w:rsid w:val="00896812"/>
    <w:rsid w:val="00896ACE"/>
    <w:rsid w:val="00896D22"/>
    <w:rsid w:val="0089705D"/>
    <w:rsid w:val="00897CC6"/>
    <w:rsid w:val="008A02F6"/>
    <w:rsid w:val="008A061E"/>
    <w:rsid w:val="008A073B"/>
    <w:rsid w:val="008A0930"/>
    <w:rsid w:val="008A109E"/>
    <w:rsid w:val="008A2914"/>
    <w:rsid w:val="008A3C5E"/>
    <w:rsid w:val="008A4038"/>
    <w:rsid w:val="008A488D"/>
    <w:rsid w:val="008A7D3A"/>
    <w:rsid w:val="008B095F"/>
    <w:rsid w:val="008B3ECB"/>
    <w:rsid w:val="008B4CE7"/>
    <w:rsid w:val="008B4E2E"/>
    <w:rsid w:val="008B6A15"/>
    <w:rsid w:val="008B6BAF"/>
    <w:rsid w:val="008B6C70"/>
    <w:rsid w:val="008B762B"/>
    <w:rsid w:val="008C0D85"/>
    <w:rsid w:val="008C1C27"/>
    <w:rsid w:val="008C1F33"/>
    <w:rsid w:val="008C30E1"/>
    <w:rsid w:val="008C3EAC"/>
    <w:rsid w:val="008C560B"/>
    <w:rsid w:val="008C6B51"/>
    <w:rsid w:val="008D0E9E"/>
    <w:rsid w:val="008D2C2D"/>
    <w:rsid w:val="008D2F19"/>
    <w:rsid w:val="008D3996"/>
    <w:rsid w:val="008D4F3E"/>
    <w:rsid w:val="008D55F3"/>
    <w:rsid w:val="008D5B52"/>
    <w:rsid w:val="008D5ED3"/>
    <w:rsid w:val="008D657A"/>
    <w:rsid w:val="008D68C2"/>
    <w:rsid w:val="008D691F"/>
    <w:rsid w:val="008D77CE"/>
    <w:rsid w:val="008D7ADA"/>
    <w:rsid w:val="008D7E1E"/>
    <w:rsid w:val="008E1451"/>
    <w:rsid w:val="008E1E5D"/>
    <w:rsid w:val="008E21E7"/>
    <w:rsid w:val="008E2712"/>
    <w:rsid w:val="008E3217"/>
    <w:rsid w:val="008E4B36"/>
    <w:rsid w:val="008E4D8E"/>
    <w:rsid w:val="008E5102"/>
    <w:rsid w:val="008E541A"/>
    <w:rsid w:val="008E7B55"/>
    <w:rsid w:val="008F1BBA"/>
    <w:rsid w:val="008F1D01"/>
    <w:rsid w:val="008F3E0C"/>
    <w:rsid w:val="008F3F99"/>
    <w:rsid w:val="008F585C"/>
    <w:rsid w:val="008F5B05"/>
    <w:rsid w:val="008F60C3"/>
    <w:rsid w:val="008F71B1"/>
    <w:rsid w:val="008F738F"/>
    <w:rsid w:val="0090064B"/>
    <w:rsid w:val="00900D73"/>
    <w:rsid w:val="00902775"/>
    <w:rsid w:val="00904C11"/>
    <w:rsid w:val="009057BC"/>
    <w:rsid w:val="00906CF7"/>
    <w:rsid w:val="00907956"/>
    <w:rsid w:val="00907F6F"/>
    <w:rsid w:val="00911A67"/>
    <w:rsid w:val="00912007"/>
    <w:rsid w:val="0091234D"/>
    <w:rsid w:val="00912DF8"/>
    <w:rsid w:val="00914BC0"/>
    <w:rsid w:val="009153C6"/>
    <w:rsid w:val="00916669"/>
    <w:rsid w:val="00917E28"/>
    <w:rsid w:val="00920008"/>
    <w:rsid w:val="00920677"/>
    <w:rsid w:val="00920CB1"/>
    <w:rsid w:val="009220CA"/>
    <w:rsid w:val="0092244C"/>
    <w:rsid w:val="00923338"/>
    <w:rsid w:val="00923785"/>
    <w:rsid w:val="00923B6C"/>
    <w:rsid w:val="0092510F"/>
    <w:rsid w:val="0092585A"/>
    <w:rsid w:val="00927AA4"/>
    <w:rsid w:val="00932794"/>
    <w:rsid w:val="009329B5"/>
    <w:rsid w:val="00934D1B"/>
    <w:rsid w:val="00936249"/>
    <w:rsid w:val="00936491"/>
    <w:rsid w:val="0094087D"/>
    <w:rsid w:val="00940E25"/>
    <w:rsid w:val="00941617"/>
    <w:rsid w:val="0094275D"/>
    <w:rsid w:val="009434F9"/>
    <w:rsid w:val="009435A1"/>
    <w:rsid w:val="00943B2B"/>
    <w:rsid w:val="009452B8"/>
    <w:rsid w:val="009459AF"/>
    <w:rsid w:val="00946251"/>
    <w:rsid w:val="00946963"/>
    <w:rsid w:val="00946BD1"/>
    <w:rsid w:val="009502F6"/>
    <w:rsid w:val="0095049B"/>
    <w:rsid w:val="00950506"/>
    <w:rsid w:val="00952AD6"/>
    <w:rsid w:val="00953555"/>
    <w:rsid w:val="00954594"/>
    <w:rsid w:val="00954732"/>
    <w:rsid w:val="00954875"/>
    <w:rsid w:val="00954D8A"/>
    <w:rsid w:val="00955B98"/>
    <w:rsid w:val="009568D0"/>
    <w:rsid w:val="00956C1D"/>
    <w:rsid w:val="00964066"/>
    <w:rsid w:val="00965995"/>
    <w:rsid w:val="00965BAA"/>
    <w:rsid w:val="00967B50"/>
    <w:rsid w:val="00970654"/>
    <w:rsid w:val="00970806"/>
    <w:rsid w:val="0097127E"/>
    <w:rsid w:val="009733FB"/>
    <w:rsid w:val="00973B4F"/>
    <w:rsid w:val="00973F2F"/>
    <w:rsid w:val="00976AC6"/>
    <w:rsid w:val="00980D29"/>
    <w:rsid w:val="00981FC0"/>
    <w:rsid w:val="009828AB"/>
    <w:rsid w:val="00983509"/>
    <w:rsid w:val="00984EF9"/>
    <w:rsid w:val="00985048"/>
    <w:rsid w:val="0098531F"/>
    <w:rsid w:val="00985355"/>
    <w:rsid w:val="00986CDC"/>
    <w:rsid w:val="0098755F"/>
    <w:rsid w:val="00990A50"/>
    <w:rsid w:val="009912D6"/>
    <w:rsid w:val="00992302"/>
    <w:rsid w:val="0099321D"/>
    <w:rsid w:val="00993F6A"/>
    <w:rsid w:val="00995088"/>
    <w:rsid w:val="00995627"/>
    <w:rsid w:val="0099650F"/>
    <w:rsid w:val="0099797A"/>
    <w:rsid w:val="00997993"/>
    <w:rsid w:val="00997A48"/>
    <w:rsid w:val="009A177A"/>
    <w:rsid w:val="009A1BCB"/>
    <w:rsid w:val="009A1E1E"/>
    <w:rsid w:val="009A2D06"/>
    <w:rsid w:val="009A2F20"/>
    <w:rsid w:val="009A30E1"/>
    <w:rsid w:val="009A3AA7"/>
    <w:rsid w:val="009A51A9"/>
    <w:rsid w:val="009A5B9B"/>
    <w:rsid w:val="009A5DD0"/>
    <w:rsid w:val="009A7646"/>
    <w:rsid w:val="009B17F4"/>
    <w:rsid w:val="009B18D2"/>
    <w:rsid w:val="009B1A90"/>
    <w:rsid w:val="009B2F1E"/>
    <w:rsid w:val="009B47D6"/>
    <w:rsid w:val="009C1365"/>
    <w:rsid w:val="009C2212"/>
    <w:rsid w:val="009C26A0"/>
    <w:rsid w:val="009C37D2"/>
    <w:rsid w:val="009C3893"/>
    <w:rsid w:val="009C4506"/>
    <w:rsid w:val="009C5195"/>
    <w:rsid w:val="009C5565"/>
    <w:rsid w:val="009C677C"/>
    <w:rsid w:val="009C6EB9"/>
    <w:rsid w:val="009C71AD"/>
    <w:rsid w:val="009D1485"/>
    <w:rsid w:val="009D1D73"/>
    <w:rsid w:val="009D1E35"/>
    <w:rsid w:val="009D26F2"/>
    <w:rsid w:val="009D40F4"/>
    <w:rsid w:val="009D416A"/>
    <w:rsid w:val="009D417A"/>
    <w:rsid w:val="009D601D"/>
    <w:rsid w:val="009D712E"/>
    <w:rsid w:val="009E00E0"/>
    <w:rsid w:val="009E0D37"/>
    <w:rsid w:val="009E14E0"/>
    <w:rsid w:val="009E23A1"/>
    <w:rsid w:val="009E2F20"/>
    <w:rsid w:val="009E4507"/>
    <w:rsid w:val="009E47C0"/>
    <w:rsid w:val="009E5BC2"/>
    <w:rsid w:val="009E624E"/>
    <w:rsid w:val="009E7485"/>
    <w:rsid w:val="009E7C8B"/>
    <w:rsid w:val="009F3303"/>
    <w:rsid w:val="009F3BD4"/>
    <w:rsid w:val="009F42AB"/>
    <w:rsid w:val="009F55C3"/>
    <w:rsid w:val="009F5D30"/>
    <w:rsid w:val="00A00B7B"/>
    <w:rsid w:val="00A00D29"/>
    <w:rsid w:val="00A00FDD"/>
    <w:rsid w:val="00A016AE"/>
    <w:rsid w:val="00A0240A"/>
    <w:rsid w:val="00A02493"/>
    <w:rsid w:val="00A02667"/>
    <w:rsid w:val="00A03742"/>
    <w:rsid w:val="00A045D8"/>
    <w:rsid w:val="00A04799"/>
    <w:rsid w:val="00A05BD7"/>
    <w:rsid w:val="00A07589"/>
    <w:rsid w:val="00A10E48"/>
    <w:rsid w:val="00A10FBB"/>
    <w:rsid w:val="00A123F8"/>
    <w:rsid w:val="00A15901"/>
    <w:rsid w:val="00A16936"/>
    <w:rsid w:val="00A16F7A"/>
    <w:rsid w:val="00A170E4"/>
    <w:rsid w:val="00A17928"/>
    <w:rsid w:val="00A21565"/>
    <w:rsid w:val="00A24196"/>
    <w:rsid w:val="00A2510A"/>
    <w:rsid w:val="00A30FA3"/>
    <w:rsid w:val="00A3207A"/>
    <w:rsid w:val="00A32E33"/>
    <w:rsid w:val="00A357A2"/>
    <w:rsid w:val="00A365DC"/>
    <w:rsid w:val="00A366C4"/>
    <w:rsid w:val="00A37923"/>
    <w:rsid w:val="00A4009B"/>
    <w:rsid w:val="00A4086C"/>
    <w:rsid w:val="00A41306"/>
    <w:rsid w:val="00A43BCA"/>
    <w:rsid w:val="00A44102"/>
    <w:rsid w:val="00A47ADA"/>
    <w:rsid w:val="00A5053F"/>
    <w:rsid w:val="00A5115C"/>
    <w:rsid w:val="00A5134D"/>
    <w:rsid w:val="00A518F7"/>
    <w:rsid w:val="00A519B0"/>
    <w:rsid w:val="00A51BAA"/>
    <w:rsid w:val="00A52C1D"/>
    <w:rsid w:val="00A52CFE"/>
    <w:rsid w:val="00A54D05"/>
    <w:rsid w:val="00A55F9E"/>
    <w:rsid w:val="00A56220"/>
    <w:rsid w:val="00A5761E"/>
    <w:rsid w:val="00A57673"/>
    <w:rsid w:val="00A57721"/>
    <w:rsid w:val="00A57AE4"/>
    <w:rsid w:val="00A57C7B"/>
    <w:rsid w:val="00A61634"/>
    <w:rsid w:val="00A61F55"/>
    <w:rsid w:val="00A63172"/>
    <w:rsid w:val="00A63389"/>
    <w:rsid w:val="00A64BA9"/>
    <w:rsid w:val="00A6558B"/>
    <w:rsid w:val="00A65976"/>
    <w:rsid w:val="00A66B39"/>
    <w:rsid w:val="00A709A8"/>
    <w:rsid w:val="00A70DE4"/>
    <w:rsid w:val="00A70F5B"/>
    <w:rsid w:val="00A72A9C"/>
    <w:rsid w:val="00A7420B"/>
    <w:rsid w:val="00A75E00"/>
    <w:rsid w:val="00A7633B"/>
    <w:rsid w:val="00A772C7"/>
    <w:rsid w:val="00A776FF"/>
    <w:rsid w:val="00A77AB3"/>
    <w:rsid w:val="00A77CDF"/>
    <w:rsid w:val="00A77D1A"/>
    <w:rsid w:val="00A80B7D"/>
    <w:rsid w:val="00A812DC"/>
    <w:rsid w:val="00A81686"/>
    <w:rsid w:val="00A821CF"/>
    <w:rsid w:val="00A82866"/>
    <w:rsid w:val="00A85185"/>
    <w:rsid w:val="00A85DF6"/>
    <w:rsid w:val="00A9107F"/>
    <w:rsid w:val="00A914C3"/>
    <w:rsid w:val="00A927D2"/>
    <w:rsid w:val="00A96E73"/>
    <w:rsid w:val="00A96F9A"/>
    <w:rsid w:val="00AA0293"/>
    <w:rsid w:val="00AA0402"/>
    <w:rsid w:val="00AA2C8C"/>
    <w:rsid w:val="00AA5B6E"/>
    <w:rsid w:val="00AA61AE"/>
    <w:rsid w:val="00AA63B1"/>
    <w:rsid w:val="00AA7F06"/>
    <w:rsid w:val="00AB0A14"/>
    <w:rsid w:val="00AB1226"/>
    <w:rsid w:val="00AB1356"/>
    <w:rsid w:val="00AB25BA"/>
    <w:rsid w:val="00AB26B1"/>
    <w:rsid w:val="00AB3F56"/>
    <w:rsid w:val="00AB6B6E"/>
    <w:rsid w:val="00AB6C84"/>
    <w:rsid w:val="00AB6CE8"/>
    <w:rsid w:val="00AB7F95"/>
    <w:rsid w:val="00AC02CC"/>
    <w:rsid w:val="00AC166D"/>
    <w:rsid w:val="00AC2196"/>
    <w:rsid w:val="00AC2E65"/>
    <w:rsid w:val="00AC324C"/>
    <w:rsid w:val="00AC3D5A"/>
    <w:rsid w:val="00AC4449"/>
    <w:rsid w:val="00AC4641"/>
    <w:rsid w:val="00AC4CC4"/>
    <w:rsid w:val="00AC5A42"/>
    <w:rsid w:val="00AD086A"/>
    <w:rsid w:val="00AD0A90"/>
    <w:rsid w:val="00AD0F8C"/>
    <w:rsid w:val="00AD105B"/>
    <w:rsid w:val="00AD2505"/>
    <w:rsid w:val="00AD31F5"/>
    <w:rsid w:val="00AD3642"/>
    <w:rsid w:val="00AD4155"/>
    <w:rsid w:val="00AD4169"/>
    <w:rsid w:val="00AD4B54"/>
    <w:rsid w:val="00AD615B"/>
    <w:rsid w:val="00AD6207"/>
    <w:rsid w:val="00AD6278"/>
    <w:rsid w:val="00AD6BED"/>
    <w:rsid w:val="00AD6E1D"/>
    <w:rsid w:val="00AD6ECE"/>
    <w:rsid w:val="00AE1F66"/>
    <w:rsid w:val="00AE26D9"/>
    <w:rsid w:val="00AE273D"/>
    <w:rsid w:val="00AE346A"/>
    <w:rsid w:val="00AE35F5"/>
    <w:rsid w:val="00AE3614"/>
    <w:rsid w:val="00AE3F4D"/>
    <w:rsid w:val="00AE4F70"/>
    <w:rsid w:val="00AE5922"/>
    <w:rsid w:val="00AE6126"/>
    <w:rsid w:val="00AE6770"/>
    <w:rsid w:val="00AE7070"/>
    <w:rsid w:val="00AF0AAD"/>
    <w:rsid w:val="00AF1268"/>
    <w:rsid w:val="00AF138B"/>
    <w:rsid w:val="00AF3DAC"/>
    <w:rsid w:val="00AF61CB"/>
    <w:rsid w:val="00AF61F2"/>
    <w:rsid w:val="00AF7677"/>
    <w:rsid w:val="00B02566"/>
    <w:rsid w:val="00B0336C"/>
    <w:rsid w:val="00B05FC8"/>
    <w:rsid w:val="00B075DB"/>
    <w:rsid w:val="00B07C8C"/>
    <w:rsid w:val="00B1039E"/>
    <w:rsid w:val="00B1099D"/>
    <w:rsid w:val="00B11888"/>
    <w:rsid w:val="00B1209D"/>
    <w:rsid w:val="00B14983"/>
    <w:rsid w:val="00B1508D"/>
    <w:rsid w:val="00B152C9"/>
    <w:rsid w:val="00B15B3E"/>
    <w:rsid w:val="00B179C7"/>
    <w:rsid w:val="00B21219"/>
    <w:rsid w:val="00B21244"/>
    <w:rsid w:val="00B22A37"/>
    <w:rsid w:val="00B2413F"/>
    <w:rsid w:val="00B241FE"/>
    <w:rsid w:val="00B2566A"/>
    <w:rsid w:val="00B25779"/>
    <w:rsid w:val="00B268FD"/>
    <w:rsid w:val="00B30231"/>
    <w:rsid w:val="00B309EB"/>
    <w:rsid w:val="00B30AF9"/>
    <w:rsid w:val="00B31883"/>
    <w:rsid w:val="00B325D7"/>
    <w:rsid w:val="00B33E98"/>
    <w:rsid w:val="00B34D11"/>
    <w:rsid w:val="00B35467"/>
    <w:rsid w:val="00B3631D"/>
    <w:rsid w:val="00B371D5"/>
    <w:rsid w:val="00B3762E"/>
    <w:rsid w:val="00B4031C"/>
    <w:rsid w:val="00B40445"/>
    <w:rsid w:val="00B41C72"/>
    <w:rsid w:val="00B42A98"/>
    <w:rsid w:val="00B42DA2"/>
    <w:rsid w:val="00B42E1D"/>
    <w:rsid w:val="00B437A2"/>
    <w:rsid w:val="00B43F5E"/>
    <w:rsid w:val="00B45481"/>
    <w:rsid w:val="00B47A5A"/>
    <w:rsid w:val="00B47D8B"/>
    <w:rsid w:val="00B51ACF"/>
    <w:rsid w:val="00B55212"/>
    <w:rsid w:val="00B57D4A"/>
    <w:rsid w:val="00B6060B"/>
    <w:rsid w:val="00B60EE3"/>
    <w:rsid w:val="00B61C64"/>
    <w:rsid w:val="00B64B2F"/>
    <w:rsid w:val="00B65A70"/>
    <w:rsid w:val="00B67157"/>
    <w:rsid w:val="00B67CA1"/>
    <w:rsid w:val="00B70CE8"/>
    <w:rsid w:val="00B710E5"/>
    <w:rsid w:val="00B72E1B"/>
    <w:rsid w:val="00B744FD"/>
    <w:rsid w:val="00B7766F"/>
    <w:rsid w:val="00B81E10"/>
    <w:rsid w:val="00B8460E"/>
    <w:rsid w:val="00B849AC"/>
    <w:rsid w:val="00B849E0"/>
    <w:rsid w:val="00B84D44"/>
    <w:rsid w:val="00B851C9"/>
    <w:rsid w:val="00B85B1C"/>
    <w:rsid w:val="00B904C4"/>
    <w:rsid w:val="00B9128E"/>
    <w:rsid w:val="00B915BE"/>
    <w:rsid w:val="00B916B3"/>
    <w:rsid w:val="00B918A1"/>
    <w:rsid w:val="00B920DB"/>
    <w:rsid w:val="00B92194"/>
    <w:rsid w:val="00B93B27"/>
    <w:rsid w:val="00B94D17"/>
    <w:rsid w:val="00B95893"/>
    <w:rsid w:val="00B9714E"/>
    <w:rsid w:val="00B97E70"/>
    <w:rsid w:val="00BA0990"/>
    <w:rsid w:val="00BA1DB7"/>
    <w:rsid w:val="00BA4328"/>
    <w:rsid w:val="00BA4FC0"/>
    <w:rsid w:val="00BA5BBB"/>
    <w:rsid w:val="00BB03A5"/>
    <w:rsid w:val="00BB0DF3"/>
    <w:rsid w:val="00BB0F0A"/>
    <w:rsid w:val="00BB2284"/>
    <w:rsid w:val="00BB41FE"/>
    <w:rsid w:val="00BB4B96"/>
    <w:rsid w:val="00BB5D85"/>
    <w:rsid w:val="00BB79C8"/>
    <w:rsid w:val="00BB7D21"/>
    <w:rsid w:val="00BC0D70"/>
    <w:rsid w:val="00BC2386"/>
    <w:rsid w:val="00BC2B53"/>
    <w:rsid w:val="00BC2C06"/>
    <w:rsid w:val="00BC35BB"/>
    <w:rsid w:val="00BC44B5"/>
    <w:rsid w:val="00BC527F"/>
    <w:rsid w:val="00BC7320"/>
    <w:rsid w:val="00BD0126"/>
    <w:rsid w:val="00BD03E0"/>
    <w:rsid w:val="00BD26E1"/>
    <w:rsid w:val="00BD31B2"/>
    <w:rsid w:val="00BD35FC"/>
    <w:rsid w:val="00BD45F8"/>
    <w:rsid w:val="00BD4C13"/>
    <w:rsid w:val="00BD4DEB"/>
    <w:rsid w:val="00BD59D6"/>
    <w:rsid w:val="00BD60F5"/>
    <w:rsid w:val="00BD66BE"/>
    <w:rsid w:val="00BD6C24"/>
    <w:rsid w:val="00BD7240"/>
    <w:rsid w:val="00BE079A"/>
    <w:rsid w:val="00BE07FF"/>
    <w:rsid w:val="00BE1674"/>
    <w:rsid w:val="00BE1B9C"/>
    <w:rsid w:val="00BE1C78"/>
    <w:rsid w:val="00BE28BC"/>
    <w:rsid w:val="00BE4011"/>
    <w:rsid w:val="00BE6053"/>
    <w:rsid w:val="00BE613C"/>
    <w:rsid w:val="00BE7FD5"/>
    <w:rsid w:val="00BF007B"/>
    <w:rsid w:val="00BF12B8"/>
    <w:rsid w:val="00BF202D"/>
    <w:rsid w:val="00BF250C"/>
    <w:rsid w:val="00BF4832"/>
    <w:rsid w:val="00BF6052"/>
    <w:rsid w:val="00BF6C22"/>
    <w:rsid w:val="00BF6F0E"/>
    <w:rsid w:val="00BF7112"/>
    <w:rsid w:val="00C00610"/>
    <w:rsid w:val="00C00B41"/>
    <w:rsid w:val="00C0118A"/>
    <w:rsid w:val="00C02174"/>
    <w:rsid w:val="00C02D0B"/>
    <w:rsid w:val="00C04751"/>
    <w:rsid w:val="00C04AFD"/>
    <w:rsid w:val="00C06668"/>
    <w:rsid w:val="00C067F8"/>
    <w:rsid w:val="00C06F07"/>
    <w:rsid w:val="00C07571"/>
    <w:rsid w:val="00C07913"/>
    <w:rsid w:val="00C104BB"/>
    <w:rsid w:val="00C10BC0"/>
    <w:rsid w:val="00C10CF4"/>
    <w:rsid w:val="00C11A49"/>
    <w:rsid w:val="00C12301"/>
    <w:rsid w:val="00C143F2"/>
    <w:rsid w:val="00C1591C"/>
    <w:rsid w:val="00C17666"/>
    <w:rsid w:val="00C17703"/>
    <w:rsid w:val="00C22225"/>
    <w:rsid w:val="00C224FD"/>
    <w:rsid w:val="00C23EDA"/>
    <w:rsid w:val="00C30ADD"/>
    <w:rsid w:val="00C31AE3"/>
    <w:rsid w:val="00C32911"/>
    <w:rsid w:val="00C3303A"/>
    <w:rsid w:val="00C33ACC"/>
    <w:rsid w:val="00C35954"/>
    <w:rsid w:val="00C35B67"/>
    <w:rsid w:val="00C37063"/>
    <w:rsid w:val="00C3775C"/>
    <w:rsid w:val="00C40966"/>
    <w:rsid w:val="00C40AF0"/>
    <w:rsid w:val="00C40F20"/>
    <w:rsid w:val="00C4260D"/>
    <w:rsid w:val="00C4277B"/>
    <w:rsid w:val="00C42DCB"/>
    <w:rsid w:val="00C4355B"/>
    <w:rsid w:val="00C44361"/>
    <w:rsid w:val="00C4516B"/>
    <w:rsid w:val="00C4585B"/>
    <w:rsid w:val="00C46D9F"/>
    <w:rsid w:val="00C47D36"/>
    <w:rsid w:val="00C50C63"/>
    <w:rsid w:val="00C51F38"/>
    <w:rsid w:val="00C525D0"/>
    <w:rsid w:val="00C54096"/>
    <w:rsid w:val="00C55E52"/>
    <w:rsid w:val="00C56074"/>
    <w:rsid w:val="00C571C8"/>
    <w:rsid w:val="00C6023B"/>
    <w:rsid w:val="00C61940"/>
    <w:rsid w:val="00C6408A"/>
    <w:rsid w:val="00C64B64"/>
    <w:rsid w:val="00C65353"/>
    <w:rsid w:val="00C6644C"/>
    <w:rsid w:val="00C67104"/>
    <w:rsid w:val="00C70AF7"/>
    <w:rsid w:val="00C70E7E"/>
    <w:rsid w:val="00C71E99"/>
    <w:rsid w:val="00C72612"/>
    <w:rsid w:val="00C741DB"/>
    <w:rsid w:val="00C74486"/>
    <w:rsid w:val="00C753FE"/>
    <w:rsid w:val="00C7542B"/>
    <w:rsid w:val="00C76B4B"/>
    <w:rsid w:val="00C76FA6"/>
    <w:rsid w:val="00C8243C"/>
    <w:rsid w:val="00C833A1"/>
    <w:rsid w:val="00C83824"/>
    <w:rsid w:val="00C83C9E"/>
    <w:rsid w:val="00C843FB"/>
    <w:rsid w:val="00C84A86"/>
    <w:rsid w:val="00C8722E"/>
    <w:rsid w:val="00C87DA7"/>
    <w:rsid w:val="00C92047"/>
    <w:rsid w:val="00C93722"/>
    <w:rsid w:val="00C93945"/>
    <w:rsid w:val="00C94AD8"/>
    <w:rsid w:val="00C95D4F"/>
    <w:rsid w:val="00C978A2"/>
    <w:rsid w:val="00CA1336"/>
    <w:rsid w:val="00CA1914"/>
    <w:rsid w:val="00CA2167"/>
    <w:rsid w:val="00CA2D0E"/>
    <w:rsid w:val="00CA4AD0"/>
    <w:rsid w:val="00CA5B41"/>
    <w:rsid w:val="00CA7195"/>
    <w:rsid w:val="00CA72F9"/>
    <w:rsid w:val="00CB0C0F"/>
    <w:rsid w:val="00CB1815"/>
    <w:rsid w:val="00CB28CD"/>
    <w:rsid w:val="00CB481F"/>
    <w:rsid w:val="00CB4B4C"/>
    <w:rsid w:val="00CB5141"/>
    <w:rsid w:val="00CB5275"/>
    <w:rsid w:val="00CB5A79"/>
    <w:rsid w:val="00CB685C"/>
    <w:rsid w:val="00CB6EA5"/>
    <w:rsid w:val="00CB709B"/>
    <w:rsid w:val="00CC05E9"/>
    <w:rsid w:val="00CC0793"/>
    <w:rsid w:val="00CC1D3D"/>
    <w:rsid w:val="00CC1E11"/>
    <w:rsid w:val="00CC2564"/>
    <w:rsid w:val="00CC38C3"/>
    <w:rsid w:val="00CC38D5"/>
    <w:rsid w:val="00CC477C"/>
    <w:rsid w:val="00CC669C"/>
    <w:rsid w:val="00CC733A"/>
    <w:rsid w:val="00CC7E91"/>
    <w:rsid w:val="00CD273B"/>
    <w:rsid w:val="00CD275B"/>
    <w:rsid w:val="00CD5102"/>
    <w:rsid w:val="00CE1503"/>
    <w:rsid w:val="00CE17B7"/>
    <w:rsid w:val="00CE19B8"/>
    <w:rsid w:val="00CE1B29"/>
    <w:rsid w:val="00CE456F"/>
    <w:rsid w:val="00CE5475"/>
    <w:rsid w:val="00CE6D56"/>
    <w:rsid w:val="00CE6ED8"/>
    <w:rsid w:val="00CE6EE2"/>
    <w:rsid w:val="00CE73AF"/>
    <w:rsid w:val="00CE7DF3"/>
    <w:rsid w:val="00CF0C2D"/>
    <w:rsid w:val="00CF0DDA"/>
    <w:rsid w:val="00CF2953"/>
    <w:rsid w:val="00CF45A9"/>
    <w:rsid w:val="00CF48ED"/>
    <w:rsid w:val="00CF4DFF"/>
    <w:rsid w:val="00CF6187"/>
    <w:rsid w:val="00CF76BD"/>
    <w:rsid w:val="00D00950"/>
    <w:rsid w:val="00D00CB2"/>
    <w:rsid w:val="00D01015"/>
    <w:rsid w:val="00D01E60"/>
    <w:rsid w:val="00D027F6"/>
    <w:rsid w:val="00D02E67"/>
    <w:rsid w:val="00D06170"/>
    <w:rsid w:val="00D07308"/>
    <w:rsid w:val="00D10C8F"/>
    <w:rsid w:val="00D11238"/>
    <w:rsid w:val="00D11545"/>
    <w:rsid w:val="00D12DC6"/>
    <w:rsid w:val="00D1394F"/>
    <w:rsid w:val="00D13A94"/>
    <w:rsid w:val="00D14D45"/>
    <w:rsid w:val="00D15162"/>
    <w:rsid w:val="00D15BAD"/>
    <w:rsid w:val="00D20381"/>
    <w:rsid w:val="00D20CFE"/>
    <w:rsid w:val="00D20FB4"/>
    <w:rsid w:val="00D21946"/>
    <w:rsid w:val="00D2345A"/>
    <w:rsid w:val="00D241DA"/>
    <w:rsid w:val="00D2673F"/>
    <w:rsid w:val="00D2742F"/>
    <w:rsid w:val="00D323B0"/>
    <w:rsid w:val="00D32EE9"/>
    <w:rsid w:val="00D34324"/>
    <w:rsid w:val="00D34821"/>
    <w:rsid w:val="00D35A83"/>
    <w:rsid w:val="00D3615A"/>
    <w:rsid w:val="00D41019"/>
    <w:rsid w:val="00D419B5"/>
    <w:rsid w:val="00D41DAD"/>
    <w:rsid w:val="00D421EB"/>
    <w:rsid w:val="00D425F8"/>
    <w:rsid w:val="00D4261F"/>
    <w:rsid w:val="00D437DF"/>
    <w:rsid w:val="00D442B2"/>
    <w:rsid w:val="00D44DCC"/>
    <w:rsid w:val="00D452F1"/>
    <w:rsid w:val="00D456F8"/>
    <w:rsid w:val="00D45983"/>
    <w:rsid w:val="00D4608A"/>
    <w:rsid w:val="00D460E1"/>
    <w:rsid w:val="00D50549"/>
    <w:rsid w:val="00D510C7"/>
    <w:rsid w:val="00D5287E"/>
    <w:rsid w:val="00D53DBB"/>
    <w:rsid w:val="00D54822"/>
    <w:rsid w:val="00D55439"/>
    <w:rsid w:val="00D55AF0"/>
    <w:rsid w:val="00D55CE3"/>
    <w:rsid w:val="00D563B8"/>
    <w:rsid w:val="00D60FD5"/>
    <w:rsid w:val="00D62FF9"/>
    <w:rsid w:val="00D63A5C"/>
    <w:rsid w:val="00D64554"/>
    <w:rsid w:val="00D65EB8"/>
    <w:rsid w:val="00D66AF3"/>
    <w:rsid w:val="00D66B5A"/>
    <w:rsid w:val="00D67D41"/>
    <w:rsid w:val="00D70926"/>
    <w:rsid w:val="00D71561"/>
    <w:rsid w:val="00D733E0"/>
    <w:rsid w:val="00D75796"/>
    <w:rsid w:val="00D75EBC"/>
    <w:rsid w:val="00D76A49"/>
    <w:rsid w:val="00D77764"/>
    <w:rsid w:val="00D80665"/>
    <w:rsid w:val="00D8074F"/>
    <w:rsid w:val="00D8151F"/>
    <w:rsid w:val="00D839E5"/>
    <w:rsid w:val="00D84F16"/>
    <w:rsid w:val="00D855BE"/>
    <w:rsid w:val="00D858F6"/>
    <w:rsid w:val="00D85F98"/>
    <w:rsid w:val="00D86297"/>
    <w:rsid w:val="00D86391"/>
    <w:rsid w:val="00D86E7C"/>
    <w:rsid w:val="00D87044"/>
    <w:rsid w:val="00D8732F"/>
    <w:rsid w:val="00D91D99"/>
    <w:rsid w:val="00D922E7"/>
    <w:rsid w:val="00D92A7D"/>
    <w:rsid w:val="00D92B39"/>
    <w:rsid w:val="00D9374F"/>
    <w:rsid w:val="00D939FE"/>
    <w:rsid w:val="00D93EE3"/>
    <w:rsid w:val="00D94770"/>
    <w:rsid w:val="00D95267"/>
    <w:rsid w:val="00D952BF"/>
    <w:rsid w:val="00D95E88"/>
    <w:rsid w:val="00DA2966"/>
    <w:rsid w:val="00DA483C"/>
    <w:rsid w:val="00DA4A3D"/>
    <w:rsid w:val="00DA50B3"/>
    <w:rsid w:val="00DA576D"/>
    <w:rsid w:val="00DB3454"/>
    <w:rsid w:val="00DB35E6"/>
    <w:rsid w:val="00DB423B"/>
    <w:rsid w:val="00DB540C"/>
    <w:rsid w:val="00DB5FB3"/>
    <w:rsid w:val="00DB6BF5"/>
    <w:rsid w:val="00DB72C0"/>
    <w:rsid w:val="00DB75D0"/>
    <w:rsid w:val="00DC2E1F"/>
    <w:rsid w:val="00DC32C4"/>
    <w:rsid w:val="00DC3D96"/>
    <w:rsid w:val="00DC4246"/>
    <w:rsid w:val="00DC5834"/>
    <w:rsid w:val="00DC6126"/>
    <w:rsid w:val="00DC6864"/>
    <w:rsid w:val="00DD0E98"/>
    <w:rsid w:val="00DD13FA"/>
    <w:rsid w:val="00DD143F"/>
    <w:rsid w:val="00DD26CD"/>
    <w:rsid w:val="00DD2E69"/>
    <w:rsid w:val="00DD3149"/>
    <w:rsid w:val="00DD3E51"/>
    <w:rsid w:val="00DD4D7D"/>
    <w:rsid w:val="00DD58EA"/>
    <w:rsid w:val="00DE0216"/>
    <w:rsid w:val="00DE0FCE"/>
    <w:rsid w:val="00DE1C72"/>
    <w:rsid w:val="00DE1E01"/>
    <w:rsid w:val="00DE26F0"/>
    <w:rsid w:val="00DE54B6"/>
    <w:rsid w:val="00DE792E"/>
    <w:rsid w:val="00DF1CCE"/>
    <w:rsid w:val="00DF2F9A"/>
    <w:rsid w:val="00DF3A0B"/>
    <w:rsid w:val="00DF424C"/>
    <w:rsid w:val="00DF4F02"/>
    <w:rsid w:val="00DF5182"/>
    <w:rsid w:val="00DF619F"/>
    <w:rsid w:val="00DF793F"/>
    <w:rsid w:val="00E00FA4"/>
    <w:rsid w:val="00E01017"/>
    <w:rsid w:val="00E03E72"/>
    <w:rsid w:val="00E064B5"/>
    <w:rsid w:val="00E064D9"/>
    <w:rsid w:val="00E10923"/>
    <w:rsid w:val="00E10DC6"/>
    <w:rsid w:val="00E12DDA"/>
    <w:rsid w:val="00E14A12"/>
    <w:rsid w:val="00E1604F"/>
    <w:rsid w:val="00E1740E"/>
    <w:rsid w:val="00E205A8"/>
    <w:rsid w:val="00E21D69"/>
    <w:rsid w:val="00E24BFB"/>
    <w:rsid w:val="00E2504B"/>
    <w:rsid w:val="00E25E56"/>
    <w:rsid w:val="00E261AF"/>
    <w:rsid w:val="00E316D8"/>
    <w:rsid w:val="00E32707"/>
    <w:rsid w:val="00E33CC4"/>
    <w:rsid w:val="00E33F55"/>
    <w:rsid w:val="00E35787"/>
    <w:rsid w:val="00E37560"/>
    <w:rsid w:val="00E403E0"/>
    <w:rsid w:val="00E41117"/>
    <w:rsid w:val="00E4243C"/>
    <w:rsid w:val="00E4308B"/>
    <w:rsid w:val="00E43B74"/>
    <w:rsid w:val="00E43EC8"/>
    <w:rsid w:val="00E443D7"/>
    <w:rsid w:val="00E44F39"/>
    <w:rsid w:val="00E45FD6"/>
    <w:rsid w:val="00E46820"/>
    <w:rsid w:val="00E46A89"/>
    <w:rsid w:val="00E46CE9"/>
    <w:rsid w:val="00E47259"/>
    <w:rsid w:val="00E47CB8"/>
    <w:rsid w:val="00E504CB"/>
    <w:rsid w:val="00E506C8"/>
    <w:rsid w:val="00E50CAD"/>
    <w:rsid w:val="00E5305C"/>
    <w:rsid w:val="00E54A31"/>
    <w:rsid w:val="00E55D12"/>
    <w:rsid w:val="00E56D21"/>
    <w:rsid w:val="00E56DFF"/>
    <w:rsid w:val="00E56E72"/>
    <w:rsid w:val="00E572AF"/>
    <w:rsid w:val="00E62542"/>
    <w:rsid w:val="00E62873"/>
    <w:rsid w:val="00E62CA3"/>
    <w:rsid w:val="00E62E6B"/>
    <w:rsid w:val="00E64895"/>
    <w:rsid w:val="00E64F16"/>
    <w:rsid w:val="00E6534F"/>
    <w:rsid w:val="00E66B77"/>
    <w:rsid w:val="00E67C91"/>
    <w:rsid w:val="00E706AB"/>
    <w:rsid w:val="00E70D77"/>
    <w:rsid w:val="00E717BE"/>
    <w:rsid w:val="00E725C4"/>
    <w:rsid w:val="00E740DB"/>
    <w:rsid w:val="00E7449C"/>
    <w:rsid w:val="00E75A88"/>
    <w:rsid w:val="00E77075"/>
    <w:rsid w:val="00E773CB"/>
    <w:rsid w:val="00E778C7"/>
    <w:rsid w:val="00E80821"/>
    <w:rsid w:val="00E811DC"/>
    <w:rsid w:val="00E817D4"/>
    <w:rsid w:val="00E81CF5"/>
    <w:rsid w:val="00E82C58"/>
    <w:rsid w:val="00E83BF7"/>
    <w:rsid w:val="00E83FE0"/>
    <w:rsid w:val="00E8594E"/>
    <w:rsid w:val="00E85D72"/>
    <w:rsid w:val="00E86952"/>
    <w:rsid w:val="00E87F9B"/>
    <w:rsid w:val="00E9067B"/>
    <w:rsid w:val="00E93426"/>
    <w:rsid w:val="00E952A1"/>
    <w:rsid w:val="00E966C9"/>
    <w:rsid w:val="00E97138"/>
    <w:rsid w:val="00EA0029"/>
    <w:rsid w:val="00EA0DDF"/>
    <w:rsid w:val="00EA2AF6"/>
    <w:rsid w:val="00EA3067"/>
    <w:rsid w:val="00EA599D"/>
    <w:rsid w:val="00EA5A21"/>
    <w:rsid w:val="00EA5E3E"/>
    <w:rsid w:val="00EA6240"/>
    <w:rsid w:val="00EA7861"/>
    <w:rsid w:val="00EB312C"/>
    <w:rsid w:val="00EB32C5"/>
    <w:rsid w:val="00EB34AB"/>
    <w:rsid w:val="00EB387C"/>
    <w:rsid w:val="00EB38A4"/>
    <w:rsid w:val="00EB453C"/>
    <w:rsid w:val="00EB4687"/>
    <w:rsid w:val="00EB4DC8"/>
    <w:rsid w:val="00EB5004"/>
    <w:rsid w:val="00EB5489"/>
    <w:rsid w:val="00EB5CB5"/>
    <w:rsid w:val="00EB5DC0"/>
    <w:rsid w:val="00EB6718"/>
    <w:rsid w:val="00EB7236"/>
    <w:rsid w:val="00EB7678"/>
    <w:rsid w:val="00EB76D1"/>
    <w:rsid w:val="00EB790F"/>
    <w:rsid w:val="00EC0BFF"/>
    <w:rsid w:val="00EC14EA"/>
    <w:rsid w:val="00EC203C"/>
    <w:rsid w:val="00EC2DD3"/>
    <w:rsid w:val="00EC319D"/>
    <w:rsid w:val="00EC5326"/>
    <w:rsid w:val="00EC5D6A"/>
    <w:rsid w:val="00EC6F78"/>
    <w:rsid w:val="00EC774E"/>
    <w:rsid w:val="00EC7DB6"/>
    <w:rsid w:val="00ED2C0A"/>
    <w:rsid w:val="00ED3E90"/>
    <w:rsid w:val="00ED5A9D"/>
    <w:rsid w:val="00ED6653"/>
    <w:rsid w:val="00ED7256"/>
    <w:rsid w:val="00ED750D"/>
    <w:rsid w:val="00ED75C1"/>
    <w:rsid w:val="00EE1F89"/>
    <w:rsid w:val="00EE4BCF"/>
    <w:rsid w:val="00EE5105"/>
    <w:rsid w:val="00EE58BF"/>
    <w:rsid w:val="00EE5BEE"/>
    <w:rsid w:val="00EE5F0D"/>
    <w:rsid w:val="00EE7AFA"/>
    <w:rsid w:val="00EF170D"/>
    <w:rsid w:val="00EF1E2F"/>
    <w:rsid w:val="00EF2BBF"/>
    <w:rsid w:val="00EF456E"/>
    <w:rsid w:val="00EF4D9A"/>
    <w:rsid w:val="00EF573C"/>
    <w:rsid w:val="00EF67EE"/>
    <w:rsid w:val="00EF75EC"/>
    <w:rsid w:val="00F00836"/>
    <w:rsid w:val="00F00BB0"/>
    <w:rsid w:val="00F0120B"/>
    <w:rsid w:val="00F014B5"/>
    <w:rsid w:val="00F01795"/>
    <w:rsid w:val="00F01BD4"/>
    <w:rsid w:val="00F044BB"/>
    <w:rsid w:val="00F054B2"/>
    <w:rsid w:val="00F06266"/>
    <w:rsid w:val="00F133A8"/>
    <w:rsid w:val="00F1387E"/>
    <w:rsid w:val="00F14984"/>
    <w:rsid w:val="00F158E7"/>
    <w:rsid w:val="00F15F37"/>
    <w:rsid w:val="00F173B7"/>
    <w:rsid w:val="00F21539"/>
    <w:rsid w:val="00F21732"/>
    <w:rsid w:val="00F221BF"/>
    <w:rsid w:val="00F227E7"/>
    <w:rsid w:val="00F22C30"/>
    <w:rsid w:val="00F22F06"/>
    <w:rsid w:val="00F259D1"/>
    <w:rsid w:val="00F260E0"/>
    <w:rsid w:val="00F306B4"/>
    <w:rsid w:val="00F33BB4"/>
    <w:rsid w:val="00F33E19"/>
    <w:rsid w:val="00F360F6"/>
    <w:rsid w:val="00F36854"/>
    <w:rsid w:val="00F37C53"/>
    <w:rsid w:val="00F407B9"/>
    <w:rsid w:val="00F41935"/>
    <w:rsid w:val="00F4385D"/>
    <w:rsid w:val="00F43AC2"/>
    <w:rsid w:val="00F45D18"/>
    <w:rsid w:val="00F45ECC"/>
    <w:rsid w:val="00F462F3"/>
    <w:rsid w:val="00F46D71"/>
    <w:rsid w:val="00F528F4"/>
    <w:rsid w:val="00F52E82"/>
    <w:rsid w:val="00F53A38"/>
    <w:rsid w:val="00F54DD9"/>
    <w:rsid w:val="00F55612"/>
    <w:rsid w:val="00F5623C"/>
    <w:rsid w:val="00F5658C"/>
    <w:rsid w:val="00F565E2"/>
    <w:rsid w:val="00F565F4"/>
    <w:rsid w:val="00F569BD"/>
    <w:rsid w:val="00F57032"/>
    <w:rsid w:val="00F60A97"/>
    <w:rsid w:val="00F62FBC"/>
    <w:rsid w:val="00F6403C"/>
    <w:rsid w:val="00F64309"/>
    <w:rsid w:val="00F6449E"/>
    <w:rsid w:val="00F64B61"/>
    <w:rsid w:val="00F671C9"/>
    <w:rsid w:val="00F67CB2"/>
    <w:rsid w:val="00F700AE"/>
    <w:rsid w:val="00F717CF"/>
    <w:rsid w:val="00F729D9"/>
    <w:rsid w:val="00F72F2A"/>
    <w:rsid w:val="00F73D5B"/>
    <w:rsid w:val="00F74A24"/>
    <w:rsid w:val="00F74BC2"/>
    <w:rsid w:val="00F75316"/>
    <w:rsid w:val="00F758A5"/>
    <w:rsid w:val="00F75982"/>
    <w:rsid w:val="00F75F2F"/>
    <w:rsid w:val="00F76192"/>
    <w:rsid w:val="00F76DB7"/>
    <w:rsid w:val="00F771BF"/>
    <w:rsid w:val="00F80B9E"/>
    <w:rsid w:val="00F81B41"/>
    <w:rsid w:val="00F83611"/>
    <w:rsid w:val="00F839A0"/>
    <w:rsid w:val="00F846DD"/>
    <w:rsid w:val="00F864F0"/>
    <w:rsid w:val="00F90132"/>
    <w:rsid w:val="00F91C87"/>
    <w:rsid w:val="00F92B45"/>
    <w:rsid w:val="00F93A30"/>
    <w:rsid w:val="00F93D8A"/>
    <w:rsid w:val="00F94C8B"/>
    <w:rsid w:val="00F95A6E"/>
    <w:rsid w:val="00F972F0"/>
    <w:rsid w:val="00F97E78"/>
    <w:rsid w:val="00FA1442"/>
    <w:rsid w:val="00FA1E8E"/>
    <w:rsid w:val="00FA31EE"/>
    <w:rsid w:val="00FA3E83"/>
    <w:rsid w:val="00FA5016"/>
    <w:rsid w:val="00FA60C2"/>
    <w:rsid w:val="00FA6255"/>
    <w:rsid w:val="00FA74AD"/>
    <w:rsid w:val="00FB0E61"/>
    <w:rsid w:val="00FB10FA"/>
    <w:rsid w:val="00FB1381"/>
    <w:rsid w:val="00FB254B"/>
    <w:rsid w:val="00FB4C11"/>
    <w:rsid w:val="00FB5E1B"/>
    <w:rsid w:val="00FB5E3C"/>
    <w:rsid w:val="00FB6138"/>
    <w:rsid w:val="00FB7D37"/>
    <w:rsid w:val="00FC0E78"/>
    <w:rsid w:val="00FC1CB0"/>
    <w:rsid w:val="00FC2E0C"/>
    <w:rsid w:val="00FC38F8"/>
    <w:rsid w:val="00FC3EEA"/>
    <w:rsid w:val="00FC42E7"/>
    <w:rsid w:val="00FC4CD3"/>
    <w:rsid w:val="00FC7AE8"/>
    <w:rsid w:val="00FC7D2F"/>
    <w:rsid w:val="00FD283E"/>
    <w:rsid w:val="00FD3AB0"/>
    <w:rsid w:val="00FD40FD"/>
    <w:rsid w:val="00FD44AE"/>
    <w:rsid w:val="00FD5893"/>
    <w:rsid w:val="00FD59D0"/>
    <w:rsid w:val="00FD6135"/>
    <w:rsid w:val="00FD63B0"/>
    <w:rsid w:val="00FD7920"/>
    <w:rsid w:val="00FE1607"/>
    <w:rsid w:val="00FE1E45"/>
    <w:rsid w:val="00FE1F0A"/>
    <w:rsid w:val="00FE1FC1"/>
    <w:rsid w:val="00FE2B7E"/>
    <w:rsid w:val="00FE2BD6"/>
    <w:rsid w:val="00FE35D5"/>
    <w:rsid w:val="00FE4849"/>
    <w:rsid w:val="00FE5C4A"/>
    <w:rsid w:val="00FF0C50"/>
    <w:rsid w:val="00FF19A1"/>
    <w:rsid w:val="00FF1A8C"/>
    <w:rsid w:val="00FF2D64"/>
    <w:rsid w:val="00FF3A34"/>
    <w:rsid w:val="0169E8A5"/>
    <w:rsid w:val="0179A4AE"/>
    <w:rsid w:val="01C87110"/>
    <w:rsid w:val="01D0D987"/>
    <w:rsid w:val="02359C7F"/>
    <w:rsid w:val="0246CBE9"/>
    <w:rsid w:val="028DE398"/>
    <w:rsid w:val="02A2B892"/>
    <w:rsid w:val="02B41BF7"/>
    <w:rsid w:val="032332AA"/>
    <w:rsid w:val="03330C16"/>
    <w:rsid w:val="03F2F63C"/>
    <w:rsid w:val="0455240D"/>
    <w:rsid w:val="05191D90"/>
    <w:rsid w:val="0543E5BC"/>
    <w:rsid w:val="058A51D7"/>
    <w:rsid w:val="05C54A5F"/>
    <w:rsid w:val="05D6B637"/>
    <w:rsid w:val="06A75839"/>
    <w:rsid w:val="06EFAAA7"/>
    <w:rsid w:val="06F1627D"/>
    <w:rsid w:val="0714BF43"/>
    <w:rsid w:val="07724F66"/>
    <w:rsid w:val="078CCFFF"/>
    <w:rsid w:val="078D5760"/>
    <w:rsid w:val="079A7828"/>
    <w:rsid w:val="07B4BA61"/>
    <w:rsid w:val="07DA9DD5"/>
    <w:rsid w:val="07DB4484"/>
    <w:rsid w:val="081FC932"/>
    <w:rsid w:val="08632A5C"/>
    <w:rsid w:val="08B15E84"/>
    <w:rsid w:val="08E4D522"/>
    <w:rsid w:val="0900E555"/>
    <w:rsid w:val="09261540"/>
    <w:rsid w:val="09CA7557"/>
    <w:rsid w:val="09E4BA96"/>
    <w:rsid w:val="0AA1581D"/>
    <w:rsid w:val="0AF32A3D"/>
    <w:rsid w:val="0B6885DE"/>
    <w:rsid w:val="0B7A96AA"/>
    <w:rsid w:val="0C1B9D81"/>
    <w:rsid w:val="0C920B2F"/>
    <w:rsid w:val="0CF2A1AA"/>
    <w:rsid w:val="0D5EEC2B"/>
    <w:rsid w:val="0DE5087A"/>
    <w:rsid w:val="0E19A79F"/>
    <w:rsid w:val="0E60C06B"/>
    <w:rsid w:val="0E7E4BDA"/>
    <w:rsid w:val="0E8EDEE0"/>
    <w:rsid w:val="0EC9E34A"/>
    <w:rsid w:val="0F0FD887"/>
    <w:rsid w:val="0F19F671"/>
    <w:rsid w:val="0F4149FD"/>
    <w:rsid w:val="0F6826AD"/>
    <w:rsid w:val="0FB1CCA7"/>
    <w:rsid w:val="0FE499BB"/>
    <w:rsid w:val="0FE4ED9E"/>
    <w:rsid w:val="1025DC27"/>
    <w:rsid w:val="106F99A4"/>
    <w:rsid w:val="10855216"/>
    <w:rsid w:val="10A60A93"/>
    <w:rsid w:val="10EC1447"/>
    <w:rsid w:val="10F32A77"/>
    <w:rsid w:val="11281713"/>
    <w:rsid w:val="1139677B"/>
    <w:rsid w:val="113F3C15"/>
    <w:rsid w:val="118AC18E"/>
    <w:rsid w:val="126FB07A"/>
    <w:rsid w:val="12C2BAD9"/>
    <w:rsid w:val="12C9FF34"/>
    <w:rsid w:val="12D2F84D"/>
    <w:rsid w:val="137E55D8"/>
    <w:rsid w:val="138B9ADC"/>
    <w:rsid w:val="145A5108"/>
    <w:rsid w:val="148F2DA9"/>
    <w:rsid w:val="14FBA6F4"/>
    <w:rsid w:val="14FC44D2"/>
    <w:rsid w:val="14FEC6E6"/>
    <w:rsid w:val="1551924C"/>
    <w:rsid w:val="15E6B4E8"/>
    <w:rsid w:val="15F6A384"/>
    <w:rsid w:val="15FD0B4A"/>
    <w:rsid w:val="168DBE75"/>
    <w:rsid w:val="16C4CA28"/>
    <w:rsid w:val="16EE0CC9"/>
    <w:rsid w:val="1716ECC7"/>
    <w:rsid w:val="17312EEF"/>
    <w:rsid w:val="174C39F5"/>
    <w:rsid w:val="174C5E43"/>
    <w:rsid w:val="179F2889"/>
    <w:rsid w:val="17A15E19"/>
    <w:rsid w:val="17BDBE2C"/>
    <w:rsid w:val="17D96178"/>
    <w:rsid w:val="17E2CF23"/>
    <w:rsid w:val="17FCC0CE"/>
    <w:rsid w:val="18896D7A"/>
    <w:rsid w:val="18A98C58"/>
    <w:rsid w:val="19067CB2"/>
    <w:rsid w:val="194C8946"/>
    <w:rsid w:val="1998912F"/>
    <w:rsid w:val="19A7FF9F"/>
    <w:rsid w:val="19E0E0AF"/>
    <w:rsid w:val="19E86C5D"/>
    <w:rsid w:val="19E91D24"/>
    <w:rsid w:val="1A193FB7"/>
    <w:rsid w:val="1A90B4D8"/>
    <w:rsid w:val="1AA69AA7"/>
    <w:rsid w:val="1B08182C"/>
    <w:rsid w:val="1B18F23C"/>
    <w:rsid w:val="1B261B16"/>
    <w:rsid w:val="1BDB9478"/>
    <w:rsid w:val="1C0B978F"/>
    <w:rsid w:val="1C23C84C"/>
    <w:rsid w:val="1C570418"/>
    <w:rsid w:val="1D741F63"/>
    <w:rsid w:val="1E5470E3"/>
    <w:rsid w:val="1F3955E4"/>
    <w:rsid w:val="1F76888E"/>
    <w:rsid w:val="200746CE"/>
    <w:rsid w:val="201420EF"/>
    <w:rsid w:val="201B20A3"/>
    <w:rsid w:val="2028971E"/>
    <w:rsid w:val="20CEA2BC"/>
    <w:rsid w:val="20E1A3FB"/>
    <w:rsid w:val="20ED4F2C"/>
    <w:rsid w:val="214F9E72"/>
    <w:rsid w:val="21B3B7DF"/>
    <w:rsid w:val="228CD4C1"/>
    <w:rsid w:val="22A01CDB"/>
    <w:rsid w:val="22AEECD2"/>
    <w:rsid w:val="22E89700"/>
    <w:rsid w:val="22F294CF"/>
    <w:rsid w:val="235AEB0B"/>
    <w:rsid w:val="235BA334"/>
    <w:rsid w:val="23B0D663"/>
    <w:rsid w:val="23B62076"/>
    <w:rsid w:val="23FB0EC4"/>
    <w:rsid w:val="24944B09"/>
    <w:rsid w:val="24ADA099"/>
    <w:rsid w:val="24D6EA89"/>
    <w:rsid w:val="253E15E9"/>
    <w:rsid w:val="258E7F25"/>
    <w:rsid w:val="25C00DCF"/>
    <w:rsid w:val="261453EE"/>
    <w:rsid w:val="264940D1"/>
    <w:rsid w:val="2662A9F6"/>
    <w:rsid w:val="26716F8F"/>
    <w:rsid w:val="26F45B4A"/>
    <w:rsid w:val="271CC4C0"/>
    <w:rsid w:val="2727BED0"/>
    <w:rsid w:val="27CB688B"/>
    <w:rsid w:val="27E17035"/>
    <w:rsid w:val="281C704D"/>
    <w:rsid w:val="28604EAC"/>
    <w:rsid w:val="2882E327"/>
    <w:rsid w:val="2888FEB2"/>
    <w:rsid w:val="28B4BC1E"/>
    <w:rsid w:val="28DBB95B"/>
    <w:rsid w:val="28E66239"/>
    <w:rsid w:val="29080C78"/>
    <w:rsid w:val="2990331E"/>
    <w:rsid w:val="299064F4"/>
    <w:rsid w:val="2997C275"/>
    <w:rsid w:val="29B840AE"/>
    <w:rsid w:val="29CFED24"/>
    <w:rsid w:val="29F892BE"/>
    <w:rsid w:val="2A213C38"/>
    <w:rsid w:val="2A4D3940"/>
    <w:rsid w:val="2AC434F6"/>
    <w:rsid w:val="2B11478B"/>
    <w:rsid w:val="2B1C31AA"/>
    <w:rsid w:val="2B51DD76"/>
    <w:rsid w:val="2BA4AC4D"/>
    <w:rsid w:val="2C8F6B6E"/>
    <w:rsid w:val="2CEA17F2"/>
    <w:rsid w:val="2D68BE11"/>
    <w:rsid w:val="2D8210E7"/>
    <w:rsid w:val="2DDEDE0B"/>
    <w:rsid w:val="2DEC85B1"/>
    <w:rsid w:val="2E034CF2"/>
    <w:rsid w:val="2E8010FE"/>
    <w:rsid w:val="2E8B0B18"/>
    <w:rsid w:val="2E8BB1D1"/>
    <w:rsid w:val="2EB51630"/>
    <w:rsid w:val="2F0D85D9"/>
    <w:rsid w:val="2F475A52"/>
    <w:rsid w:val="2F5D6C4A"/>
    <w:rsid w:val="2F8D13AF"/>
    <w:rsid w:val="2FD723F6"/>
    <w:rsid w:val="2FF688A1"/>
    <w:rsid w:val="3011536E"/>
    <w:rsid w:val="30D79D49"/>
    <w:rsid w:val="30E365C0"/>
    <w:rsid w:val="30FFBA3F"/>
    <w:rsid w:val="315DED36"/>
    <w:rsid w:val="31B03E6B"/>
    <w:rsid w:val="327C156E"/>
    <w:rsid w:val="34877B56"/>
    <w:rsid w:val="349DDFC7"/>
    <w:rsid w:val="34D1E64F"/>
    <w:rsid w:val="35EA9A67"/>
    <w:rsid w:val="360856B0"/>
    <w:rsid w:val="36370D22"/>
    <w:rsid w:val="3641E62F"/>
    <w:rsid w:val="366DB6B0"/>
    <w:rsid w:val="367A54FD"/>
    <w:rsid w:val="367D9B59"/>
    <w:rsid w:val="368A0C16"/>
    <w:rsid w:val="3697DC68"/>
    <w:rsid w:val="37355518"/>
    <w:rsid w:val="37A0D699"/>
    <w:rsid w:val="38098711"/>
    <w:rsid w:val="381AB337"/>
    <w:rsid w:val="383AE3D7"/>
    <w:rsid w:val="3872AC79"/>
    <w:rsid w:val="38ABBDDB"/>
    <w:rsid w:val="38ABF81C"/>
    <w:rsid w:val="38B5AD34"/>
    <w:rsid w:val="38D54F48"/>
    <w:rsid w:val="38F33065"/>
    <w:rsid w:val="390C3E60"/>
    <w:rsid w:val="3958AE7E"/>
    <w:rsid w:val="39A688BE"/>
    <w:rsid w:val="3A00B016"/>
    <w:rsid w:val="3A2E18BC"/>
    <w:rsid w:val="3A36FDF6"/>
    <w:rsid w:val="3ABDFAE7"/>
    <w:rsid w:val="3B624072"/>
    <w:rsid w:val="3B9FFA42"/>
    <w:rsid w:val="3C2E6999"/>
    <w:rsid w:val="3C3A18FB"/>
    <w:rsid w:val="3C3AB7D5"/>
    <w:rsid w:val="3C3C35B7"/>
    <w:rsid w:val="3CF4CA63"/>
    <w:rsid w:val="3D2634C7"/>
    <w:rsid w:val="3D7EE1DB"/>
    <w:rsid w:val="3D9AE39F"/>
    <w:rsid w:val="3DC274AD"/>
    <w:rsid w:val="3DCEBAAD"/>
    <w:rsid w:val="3EA167BD"/>
    <w:rsid w:val="3ECD19DC"/>
    <w:rsid w:val="3EFF1BE8"/>
    <w:rsid w:val="3F2C4654"/>
    <w:rsid w:val="3F3BA60D"/>
    <w:rsid w:val="3F660A5B"/>
    <w:rsid w:val="403D381E"/>
    <w:rsid w:val="409C2343"/>
    <w:rsid w:val="40F214DE"/>
    <w:rsid w:val="40F2458A"/>
    <w:rsid w:val="4100F023"/>
    <w:rsid w:val="414581F8"/>
    <w:rsid w:val="41A2ECCB"/>
    <w:rsid w:val="41F916B0"/>
    <w:rsid w:val="42022060"/>
    <w:rsid w:val="427DEFBA"/>
    <w:rsid w:val="42988119"/>
    <w:rsid w:val="42B272C4"/>
    <w:rsid w:val="42C9F6F3"/>
    <w:rsid w:val="4316FD2F"/>
    <w:rsid w:val="44E1E652"/>
    <w:rsid w:val="453581DB"/>
    <w:rsid w:val="45634CD6"/>
    <w:rsid w:val="45738B05"/>
    <w:rsid w:val="45B5907C"/>
    <w:rsid w:val="463944FD"/>
    <w:rsid w:val="4639EEB4"/>
    <w:rsid w:val="466DAE12"/>
    <w:rsid w:val="468BC800"/>
    <w:rsid w:val="46921791"/>
    <w:rsid w:val="469BACA9"/>
    <w:rsid w:val="478C2EC0"/>
    <w:rsid w:val="47A2CE29"/>
    <w:rsid w:val="47C5AA12"/>
    <w:rsid w:val="47D48519"/>
    <w:rsid w:val="47DD478D"/>
    <w:rsid w:val="47EB6A0D"/>
    <w:rsid w:val="4871EE33"/>
    <w:rsid w:val="48E57978"/>
    <w:rsid w:val="48F382DD"/>
    <w:rsid w:val="492A6582"/>
    <w:rsid w:val="494BE707"/>
    <w:rsid w:val="496F58AB"/>
    <w:rsid w:val="4997D222"/>
    <w:rsid w:val="49CE086C"/>
    <w:rsid w:val="49D60BE6"/>
    <w:rsid w:val="49DC1552"/>
    <w:rsid w:val="49F24625"/>
    <w:rsid w:val="4A0730C1"/>
    <w:rsid w:val="4A39ABE5"/>
    <w:rsid w:val="4A444F95"/>
    <w:rsid w:val="4B49F182"/>
    <w:rsid w:val="4B8454B2"/>
    <w:rsid w:val="4B9E681D"/>
    <w:rsid w:val="4C18AC7B"/>
    <w:rsid w:val="4C3CFD43"/>
    <w:rsid w:val="4C7966B3"/>
    <w:rsid w:val="4C9007DB"/>
    <w:rsid w:val="4CB14C3D"/>
    <w:rsid w:val="4D0AEE2D"/>
    <w:rsid w:val="4D202513"/>
    <w:rsid w:val="4D7BDD48"/>
    <w:rsid w:val="4DBA1ED8"/>
    <w:rsid w:val="4DFEADBB"/>
    <w:rsid w:val="4E0CA06D"/>
    <w:rsid w:val="4E221D53"/>
    <w:rsid w:val="4E6FA03B"/>
    <w:rsid w:val="4EA8C164"/>
    <w:rsid w:val="4EAA7637"/>
    <w:rsid w:val="4ED51CD6"/>
    <w:rsid w:val="4F5DDBC4"/>
    <w:rsid w:val="4F677344"/>
    <w:rsid w:val="4F841BAB"/>
    <w:rsid w:val="4F8E3D3C"/>
    <w:rsid w:val="50DCFBF2"/>
    <w:rsid w:val="514DEBDF"/>
    <w:rsid w:val="523655BE"/>
    <w:rsid w:val="5255E975"/>
    <w:rsid w:val="529A42DE"/>
    <w:rsid w:val="52EF7798"/>
    <w:rsid w:val="532C9E6D"/>
    <w:rsid w:val="53429377"/>
    <w:rsid w:val="535960E4"/>
    <w:rsid w:val="536CEFEE"/>
    <w:rsid w:val="53E453D5"/>
    <w:rsid w:val="5432F28C"/>
    <w:rsid w:val="546D55A9"/>
    <w:rsid w:val="554A7034"/>
    <w:rsid w:val="559925E3"/>
    <w:rsid w:val="55D1E3A0"/>
    <w:rsid w:val="55EA28EB"/>
    <w:rsid w:val="55F35D2F"/>
    <w:rsid w:val="561F7AB9"/>
    <w:rsid w:val="5631AD09"/>
    <w:rsid w:val="56FA02DD"/>
    <w:rsid w:val="5757600A"/>
    <w:rsid w:val="576F01ED"/>
    <w:rsid w:val="57724124"/>
    <w:rsid w:val="578C6B09"/>
    <w:rsid w:val="58323ECB"/>
    <w:rsid w:val="58B9FD63"/>
    <w:rsid w:val="594F5BC4"/>
    <w:rsid w:val="5954D26A"/>
    <w:rsid w:val="59A915E3"/>
    <w:rsid w:val="59EC0347"/>
    <w:rsid w:val="5A1B297C"/>
    <w:rsid w:val="5A5752BA"/>
    <w:rsid w:val="5A6505D7"/>
    <w:rsid w:val="5AE630E3"/>
    <w:rsid w:val="5B650F8D"/>
    <w:rsid w:val="5BCEEE7C"/>
    <w:rsid w:val="5BF4D560"/>
    <w:rsid w:val="5C0D1BFF"/>
    <w:rsid w:val="5C5FDC2C"/>
    <w:rsid w:val="5C9CDACD"/>
    <w:rsid w:val="5CD7FC1F"/>
    <w:rsid w:val="5CFCB1FA"/>
    <w:rsid w:val="5D0A2ADB"/>
    <w:rsid w:val="5D9A2328"/>
    <w:rsid w:val="5DA0D0FE"/>
    <w:rsid w:val="5DEBC7E4"/>
    <w:rsid w:val="5FB9B875"/>
    <w:rsid w:val="5FBE46D2"/>
    <w:rsid w:val="5FE3DDB2"/>
    <w:rsid w:val="60134C4C"/>
    <w:rsid w:val="6016A867"/>
    <w:rsid w:val="6065112E"/>
    <w:rsid w:val="607C8C84"/>
    <w:rsid w:val="60B2F612"/>
    <w:rsid w:val="60FD3A9A"/>
    <w:rsid w:val="612935B5"/>
    <w:rsid w:val="615F0316"/>
    <w:rsid w:val="61DC476F"/>
    <w:rsid w:val="626C63FD"/>
    <w:rsid w:val="62CD3454"/>
    <w:rsid w:val="62E45496"/>
    <w:rsid w:val="62E91A0B"/>
    <w:rsid w:val="63166C33"/>
    <w:rsid w:val="6335908A"/>
    <w:rsid w:val="637F49DD"/>
    <w:rsid w:val="645FFCDE"/>
    <w:rsid w:val="64CB170D"/>
    <w:rsid w:val="64EAF163"/>
    <w:rsid w:val="654AED23"/>
    <w:rsid w:val="65626FAA"/>
    <w:rsid w:val="65D8A2E6"/>
    <w:rsid w:val="65FF909D"/>
    <w:rsid w:val="661741E3"/>
    <w:rsid w:val="663DDD3D"/>
    <w:rsid w:val="66E41B8F"/>
    <w:rsid w:val="68163273"/>
    <w:rsid w:val="681D63B2"/>
    <w:rsid w:val="68739DB4"/>
    <w:rsid w:val="68FD2947"/>
    <w:rsid w:val="6909F2F2"/>
    <w:rsid w:val="691B1F3D"/>
    <w:rsid w:val="691EEC52"/>
    <w:rsid w:val="694796AC"/>
    <w:rsid w:val="69B5A035"/>
    <w:rsid w:val="6A1D8A61"/>
    <w:rsid w:val="6A89A087"/>
    <w:rsid w:val="6B088DDD"/>
    <w:rsid w:val="6BACA256"/>
    <w:rsid w:val="6BB0EE81"/>
    <w:rsid w:val="6BB1DBB3"/>
    <w:rsid w:val="6BCDEF2D"/>
    <w:rsid w:val="6BD1B12E"/>
    <w:rsid w:val="6C45D5E3"/>
    <w:rsid w:val="6CC30EA2"/>
    <w:rsid w:val="6CD835B4"/>
    <w:rsid w:val="6D168AFB"/>
    <w:rsid w:val="6D6D818F"/>
    <w:rsid w:val="6DD035C3"/>
    <w:rsid w:val="6DD3D9B1"/>
    <w:rsid w:val="6DDB3225"/>
    <w:rsid w:val="6E4BA314"/>
    <w:rsid w:val="6E9C0E48"/>
    <w:rsid w:val="6EA55AB5"/>
    <w:rsid w:val="6EFED5CD"/>
    <w:rsid w:val="6F54104B"/>
    <w:rsid w:val="6F79E759"/>
    <w:rsid w:val="6F8D4A86"/>
    <w:rsid w:val="6FA3E4BD"/>
    <w:rsid w:val="70477B75"/>
    <w:rsid w:val="70617CC3"/>
    <w:rsid w:val="70B5BF24"/>
    <w:rsid w:val="7161EAD4"/>
    <w:rsid w:val="71655D5E"/>
    <w:rsid w:val="71A0BBE8"/>
    <w:rsid w:val="71F23227"/>
    <w:rsid w:val="722414C9"/>
    <w:rsid w:val="7228FDBE"/>
    <w:rsid w:val="722F63D2"/>
    <w:rsid w:val="723062A4"/>
    <w:rsid w:val="7289DF08"/>
    <w:rsid w:val="72A70243"/>
    <w:rsid w:val="72F44FB5"/>
    <w:rsid w:val="72F927EB"/>
    <w:rsid w:val="73E396A9"/>
    <w:rsid w:val="74179665"/>
    <w:rsid w:val="74762FBB"/>
    <w:rsid w:val="747D2064"/>
    <w:rsid w:val="74A10C46"/>
    <w:rsid w:val="7555D901"/>
    <w:rsid w:val="7699F87F"/>
    <w:rsid w:val="76A74DB0"/>
    <w:rsid w:val="76D0045E"/>
    <w:rsid w:val="76EA347E"/>
    <w:rsid w:val="76F77CD2"/>
    <w:rsid w:val="7703656C"/>
    <w:rsid w:val="7724BE38"/>
    <w:rsid w:val="772A4BB2"/>
    <w:rsid w:val="774CDDC2"/>
    <w:rsid w:val="778D61C7"/>
    <w:rsid w:val="77ECADC4"/>
    <w:rsid w:val="784B3CEF"/>
    <w:rsid w:val="785B6DCE"/>
    <w:rsid w:val="788379C2"/>
    <w:rsid w:val="78D7BADD"/>
    <w:rsid w:val="79434827"/>
    <w:rsid w:val="79600602"/>
    <w:rsid w:val="79B68F0B"/>
    <w:rsid w:val="79DDB81F"/>
    <w:rsid w:val="79EC97AC"/>
    <w:rsid w:val="7A06CCB4"/>
    <w:rsid w:val="7B142D2A"/>
    <w:rsid w:val="7B6E6F99"/>
    <w:rsid w:val="7B930E90"/>
    <w:rsid w:val="7BF1BAD8"/>
    <w:rsid w:val="7C3D696A"/>
    <w:rsid w:val="7C70521F"/>
    <w:rsid w:val="7CAFFD8B"/>
    <w:rsid w:val="7D5C98D4"/>
    <w:rsid w:val="7E43CAA3"/>
    <w:rsid w:val="7E4DDAEF"/>
    <w:rsid w:val="7E9928F8"/>
    <w:rsid w:val="7EDF4EC0"/>
    <w:rsid w:val="7EFD64B3"/>
    <w:rsid w:val="7F517C7D"/>
    <w:rsid w:val="7FA028D2"/>
    <w:rsid w:val="7FBE37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337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pPr>
      <w:keepNext/>
      <w:numPr>
        <w:numId w:val="14"/>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pPr>
      <w:keepNext/>
      <w:numPr>
        <w:ilvl w:val="1"/>
        <w:numId w:val="14"/>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pPr>
      <w:keepNext/>
      <w:numPr>
        <w:ilvl w:val="2"/>
        <w:numId w:val="14"/>
      </w:numPr>
      <w:outlineLvl w:val="2"/>
    </w:pPr>
    <w:rPr>
      <w:rFonts w:eastAsiaTheme="majorEastAsia"/>
      <w:bCs/>
      <w:i/>
    </w:rPr>
  </w:style>
  <w:style w:type="paragraph" w:styleId="Pealkiri4">
    <w:name w:val="heading 4"/>
    <w:basedOn w:val="Normaallaad"/>
    <w:next w:val="Text1"/>
    <w:link w:val="Pealkiri4Mrk"/>
    <w:uiPriority w:val="9"/>
    <w:semiHidden/>
    <w:unhideWhenUsed/>
    <w:qFormat/>
    <w:pPr>
      <w:keepNext/>
      <w:numPr>
        <w:ilvl w:val="3"/>
        <w:numId w:val="14"/>
      </w:numPr>
      <w:outlineLvl w:val="3"/>
    </w:pPr>
    <w:rPr>
      <w:rFonts w:eastAsiaTheme="majorEastAsia"/>
      <w:bCs/>
      <w:iCs/>
    </w:rPr>
  </w:style>
  <w:style w:type="paragraph" w:styleId="Pealkiri5">
    <w:name w:val="heading 5"/>
    <w:basedOn w:val="Normaallaad"/>
    <w:next w:val="Text2"/>
    <w:link w:val="Pealkiri5Mrk"/>
    <w:uiPriority w:val="9"/>
    <w:semiHidden/>
    <w:unhideWhenUsed/>
    <w:qFormat/>
    <w:pPr>
      <w:keepNext/>
      <w:numPr>
        <w:ilvl w:val="4"/>
        <w:numId w:val="14"/>
      </w:numPr>
      <w:outlineLvl w:val="4"/>
    </w:pPr>
    <w:rPr>
      <w:rFonts w:eastAsiaTheme="majorEastAsia"/>
    </w:rPr>
  </w:style>
  <w:style w:type="paragraph" w:styleId="Pealkiri6">
    <w:name w:val="heading 6"/>
    <w:basedOn w:val="Normaallaad"/>
    <w:next w:val="Text2"/>
    <w:link w:val="Pealkiri6Mrk"/>
    <w:uiPriority w:val="9"/>
    <w:semiHidden/>
    <w:unhideWhenUsed/>
    <w:qFormat/>
    <w:pPr>
      <w:keepNext/>
      <w:numPr>
        <w:ilvl w:val="5"/>
        <w:numId w:val="14"/>
      </w:numPr>
      <w:outlineLvl w:val="5"/>
    </w:pPr>
    <w:rPr>
      <w:rFonts w:eastAsiaTheme="majorEastAsia"/>
      <w:iCs/>
    </w:rPr>
  </w:style>
  <w:style w:type="paragraph" w:styleId="Pealkiri7">
    <w:name w:val="heading 7"/>
    <w:basedOn w:val="Normaallaad"/>
    <w:next w:val="Text2"/>
    <w:link w:val="Pealkiri7Mrk"/>
    <w:uiPriority w:val="9"/>
    <w:semiHidden/>
    <w:unhideWhenUsed/>
    <w:qFormat/>
    <w:pPr>
      <w:keepNext/>
      <w:numPr>
        <w:ilvl w:val="6"/>
        <w:numId w:val="14"/>
      </w:numPr>
      <w:outlineLvl w:val="6"/>
    </w:pPr>
    <w:rPr>
      <w:rFonts w:eastAsiaTheme="majorEastAsia"/>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tpp">
    <w:name w:val="List Bullet"/>
    <w:basedOn w:val="Normaallaad"/>
    <w:uiPriority w:val="99"/>
    <w:semiHidden/>
    <w:unhideWhenUsed/>
    <w:rsid w:val="00B918A1"/>
    <w:pPr>
      <w:numPr>
        <w:numId w:val="1"/>
      </w:numPr>
      <w:contextualSpacing/>
    </w:pPr>
  </w:style>
  <w:style w:type="paragraph" w:styleId="Loenditpp2">
    <w:name w:val="List Bullet 2"/>
    <w:basedOn w:val="Normaallaad"/>
    <w:uiPriority w:val="99"/>
    <w:semiHidden/>
    <w:unhideWhenUsed/>
    <w:rsid w:val="00B918A1"/>
    <w:pPr>
      <w:numPr>
        <w:numId w:val="2"/>
      </w:numPr>
      <w:contextualSpacing/>
    </w:pPr>
  </w:style>
  <w:style w:type="paragraph" w:styleId="Loenditpp3">
    <w:name w:val="List Bullet 3"/>
    <w:basedOn w:val="Normaallaad"/>
    <w:uiPriority w:val="99"/>
    <w:semiHidden/>
    <w:unhideWhenUsed/>
    <w:rsid w:val="00B918A1"/>
    <w:pPr>
      <w:numPr>
        <w:numId w:val="3"/>
      </w:numPr>
      <w:contextualSpacing/>
    </w:pPr>
  </w:style>
  <w:style w:type="paragraph" w:styleId="Loenditpp4">
    <w:name w:val="List Bullet 4"/>
    <w:basedOn w:val="Normaallaad"/>
    <w:uiPriority w:val="99"/>
    <w:semiHidden/>
    <w:unhideWhenUsed/>
    <w:rsid w:val="00B918A1"/>
    <w:pPr>
      <w:numPr>
        <w:numId w:val="4"/>
      </w:numPr>
      <w:contextualSpacing/>
    </w:pPr>
  </w:style>
  <w:style w:type="paragraph" w:styleId="Loendilik">
    <w:name w:val="List Paragraph"/>
    <w:aliases w:val="Fiche List Paragraph,Task Body,Viñetas (Inicio Parrafo),3 Txt tabla,Zerrenda-paragrafoa,Lista multicolor - Énfasis 11,Paragrafo elenco,Dot pt,No Spacing1,List Paragraph Char Char Char,Indicator Text,Numbered Para 1,Nad,OBC Bullet,LISTA,2"/>
    <w:basedOn w:val="Normaallaad"/>
    <w:link w:val="LoendilikMrk"/>
    <w:uiPriority w:val="34"/>
    <w:qFormat/>
    <w:rsid w:val="001F5082"/>
    <w:pPr>
      <w:spacing w:before="0" w:after="240"/>
      <w:ind w:left="720"/>
      <w:contextualSpacing/>
    </w:pPr>
    <w:rPr>
      <w:rFonts w:eastAsia="Times New Roman"/>
      <w:szCs w:val="20"/>
      <w:lang w:eastAsia="pt-PT"/>
    </w:rPr>
  </w:style>
  <w:style w:type="character" w:customStyle="1" w:styleId="LoendilikMrk">
    <w:name w:val="Loendi lõik Märk"/>
    <w:aliases w:val="Fiche List Paragraph Märk,Task Body Märk,Viñetas (Inicio Parrafo) Märk,3 Txt tabla Märk,Zerrenda-paragrafoa Märk,Lista multicolor - Énfasis 11 Märk,Paragrafo elenco Märk,Dot pt Märk,No Spacing1 Märk,List Paragraph Char Char Char Märk"/>
    <w:link w:val="Loendilik"/>
    <w:uiPriority w:val="34"/>
    <w:qFormat/>
    <w:rsid w:val="001F5082"/>
    <w:rPr>
      <w:rFonts w:ascii="Times New Roman" w:eastAsia="Times New Roman" w:hAnsi="Times New Roman" w:cs="Times New Roman"/>
      <w:sz w:val="24"/>
      <w:szCs w:val="20"/>
      <w:lang w:val="en-GB" w:eastAsia="pt-PT"/>
    </w:rPr>
  </w:style>
  <w:style w:type="paragraph" w:customStyle="1" w:styleId="BVIfnrCarCarCarCarChar">
    <w:name w:val="BVI fnr Car Car Car Car Char"/>
    <w:basedOn w:val="Normaallaad"/>
    <w:link w:val="Allmrkuseviide"/>
    <w:uiPriority w:val="99"/>
    <w:rsid w:val="007629BF"/>
    <w:pPr>
      <w:spacing w:before="0" w:after="240" w:line="240" w:lineRule="exact"/>
    </w:pPr>
    <w:rPr>
      <w:rFonts w:asciiTheme="minorHAnsi" w:hAnsiTheme="minorHAnsi" w:cstheme="minorBidi"/>
      <w:sz w:val="22"/>
      <w:vertAlign w:val="superscript"/>
      <w:lang w:val="en-US"/>
    </w:rPr>
  </w:style>
  <w:style w:type="character" w:styleId="Kommentaariviide">
    <w:name w:val="annotation reference"/>
    <w:basedOn w:val="Liguvaikefont"/>
    <w:uiPriority w:val="99"/>
    <w:unhideWhenUsed/>
    <w:rsid w:val="007629BF"/>
    <w:rPr>
      <w:sz w:val="16"/>
      <w:szCs w:val="16"/>
    </w:rPr>
  </w:style>
  <w:style w:type="paragraph" w:styleId="Kommentaaritekst">
    <w:name w:val="annotation text"/>
    <w:basedOn w:val="Normaallaad"/>
    <w:link w:val="KommentaaritekstMrk"/>
    <w:uiPriority w:val="99"/>
    <w:unhideWhenUsed/>
    <w:rsid w:val="007629BF"/>
    <w:pPr>
      <w:spacing w:before="0" w:after="0"/>
      <w:jc w:val="left"/>
    </w:pPr>
    <w:rPr>
      <w:rFonts w:eastAsiaTheme="minorEastAsia"/>
      <w:sz w:val="20"/>
      <w:szCs w:val="20"/>
      <w:lang w:val="en-US"/>
    </w:rPr>
  </w:style>
  <w:style w:type="character" w:customStyle="1" w:styleId="KommentaaritekstMrk">
    <w:name w:val="Kommentaari tekst Märk"/>
    <w:basedOn w:val="Liguvaikefont"/>
    <w:link w:val="Kommentaaritekst"/>
    <w:uiPriority w:val="99"/>
    <w:rsid w:val="007629BF"/>
    <w:rPr>
      <w:rFonts w:ascii="Times New Roman" w:eastAsiaTheme="minorEastAsia"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D91D99"/>
    <w:pPr>
      <w:spacing w:before="120" w:after="120"/>
      <w:jc w:val="both"/>
    </w:pPr>
    <w:rPr>
      <w:rFonts w:eastAsiaTheme="minorHAnsi"/>
      <w:b/>
      <w:bCs/>
      <w:lang w:val="en-GB"/>
    </w:rPr>
  </w:style>
  <w:style w:type="character" w:customStyle="1" w:styleId="KommentaariteemaMrk">
    <w:name w:val="Kommentaari teema Märk"/>
    <w:basedOn w:val="KommentaaritekstMrk"/>
    <w:link w:val="Kommentaariteema"/>
    <w:uiPriority w:val="99"/>
    <w:semiHidden/>
    <w:rsid w:val="00D91D99"/>
    <w:rPr>
      <w:rFonts w:ascii="Times New Roman" w:eastAsiaTheme="minorEastAsia" w:hAnsi="Times New Roman" w:cs="Times New Roman"/>
      <w:b/>
      <w:bCs/>
      <w:sz w:val="20"/>
      <w:szCs w:val="20"/>
      <w:lang w:val="en-GB"/>
    </w:rPr>
  </w:style>
  <w:style w:type="character" w:customStyle="1" w:styleId="footnotereference">
    <w:name w:val="footnotereference"/>
    <w:basedOn w:val="Liguvaikefont"/>
    <w:rsid w:val="0059579D"/>
  </w:style>
  <w:style w:type="character" w:styleId="Hperlink">
    <w:name w:val="Hyperlink"/>
    <w:basedOn w:val="Liguvaikefont"/>
    <w:uiPriority w:val="99"/>
    <w:unhideWhenUsed/>
    <w:rsid w:val="0059579D"/>
    <w:rPr>
      <w:color w:val="0000FF"/>
      <w:u w:val="single"/>
    </w:rPr>
  </w:style>
  <w:style w:type="paragraph" w:styleId="Redaktsioon">
    <w:name w:val="Revision"/>
    <w:hidden/>
    <w:uiPriority w:val="99"/>
    <w:semiHidden/>
    <w:rsid w:val="00807783"/>
    <w:pPr>
      <w:spacing w:after="0" w:line="240" w:lineRule="auto"/>
    </w:pPr>
    <w:rPr>
      <w:rFonts w:ascii="Times New Roman" w:hAnsi="Times New Roman" w:cs="Times New Roman"/>
      <w:sz w:val="24"/>
      <w:lang w:val="en-GB"/>
    </w:rPr>
  </w:style>
  <w:style w:type="character" w:customStyle="1" w:styleId="UnresolvedMention1">
    <w:name w:val="Unresolved Mention1"/>
    <w:basedOn w:val="Liguvaikefont"/>
    <w:uiPriority w:val="99"/>
    <w:semiHidden/>
    <w:unhideWhenUsed/>
    <w:rsid w:val="00756D86"/>
    <w:rPr>
      <w:color w:val="605E5C"/>
      <w:shd w:val="clear" w:color="auto" w:fill="E1DFDD"/>
    </w:rPr>
  </w:style>
  <w:style w:type="character" w:customStyle="1" w:styleId="oj-italic">
    <w:name w:val="oj-italic"/>
    <w:basedOn w:val="Liguvaikefont"/>
    <w:rsid w:val="001616DF"/>
  </w:style>
  <w:style w:type="character" w:styleId="Rhutus">
    <w:name w:val="Emphasis"/>
    <w:basedOn w:val="Liguvaikefont"/>
    <w:uiPriority w:val="20"/>
    <w:qFormat/>
    <w:rsid w:val="00BF4832"/>
    <w:rPr>
      <w:i/>
      <w:iCs/>
    </w:rPr>
  </w:style>
  <w:style w:type="character" w:customStyle="1" w:styleId="normaltextrun">
    <w:name w:val="normaltextrun"/>
    <w:basedOn w:val="Liguvaikefont"/>
    <w:rsid w:val="006D042E"/>
  </w:style>
  <w:style w:type="character" w:customStyle="1" w:styleId="eop">
    <w:name w:val="eop"/>
    <w:basedOn w:val="Liguvaikefont"/>
    <w:rsid w:val="0033165C"/>
  </w:style>
  <w:style w:type="character" w:customStyle="1" w:styleId="cf01">
    <w:name w:val="cf01"/>
    <w:basedOn w:val="Liguvaikefont"/>
    <w:rsid w:val="009153C6"/>
    <w:rPr>
      <w:rFonts w:ascii="Segoe UI" w:hAnsi="Segoe UI" w:cs="Segoe UI" w:hint="default"/>
      <w:sz w:val="18"/>
      <w:szCs w:val="18"/>
    </w:rPr>
  </w:style>
  <w:style w:type="character" w:customStyle="1" w:styleId="highlight">
    <w:name w:val="highlight"/>
    <w:basedOn w:val="Liguvaikefont"/>
    <w:rsid w:val="00157C6A"/>
  </w:style>
  <w:style w:type="character" w:styleId="Klastatudhperlink">
    <w:name w:val="FollowedHyperlink"/>
    <w:basedOn w:val="Liguvaikefont"/>
    <w:uiPriority w:val="99"/>
    <w:semiHidden/>
    <w:unhideWhenUsed/>
    <w:rsid w:val="00A812DC"/>
    <w:rPr>
      <w:color w:val="800080" w:themeColor="followedHyperlink"/>
      <w:u w:val="single"/>
    </w:rPr>
  </w:style>
  <w:style w:type="paragraph" w:customStyle="1" w:styleId="EcorysBody">
    <w:name w:val="Ecorys Body"/>
    <w:link w:val="EcorysBodyChar"/>
    <w:autoRedefine/>
    <w:qFormat/>
    <w:rsid w:val="00AB0A14"/>
    <w:pPr>
      <w:spacing w:after="120" w:line="259" w:lineRule="auto"/>
      <w:jc w:val="both"/>
    </w:pPr>
    <w:rPr>
      <w:rFonts w:ascii="Times New Roman" w:hAnsi="Times New Roman" w:cs="Open Sans Light"/>
      <w:bCs/>
      <w:color w:val="000000" w:themeColor="text1"/>
      <w:szCs w:val="20"/>
      <w:lang w:val="en-GB"/>
    </w:rPr>
  </w:style>
  <w:style w:type="character" w:customStyle="1" w:styleId="EcorysBodyChar">
    <w:name w:val="Ecorys Body Char"/>
    <w:basedOn w:val="Liguvaikefont"/>
    <w:link w:val="EcorysBody"/>
    <w:rsid w:val="00AB0A14"/>
    <w:rPr>
      <w:rFonts w:ascii="Times New Roman" w:hAnsi="Times New Roman" w:cs="Open Sans Light"/>
      <w:bCs/>
      <w:color w:val="000000" w:themeColor="text1"/>
      <w:szCs w:val="20"/>
      <w:lang w:val="en-GB"/>
    </w:rPr>
  </w:style>
  <w:style w:type="character" w:customStyle="1" w:styleId="BulletedListChar">
    <w:name w:val="Bulleted List Char"/>
    <w:basedOn w:val="Liguvaikefont"/>
    <w:link w:val="BulletedList"/>
    <w:uiPriority w:val="12"/>
    <w:locked/>
    <w:rsid w:val="001D75AD"/>
    <w:rPr>
      <w:color w:val="000000"/>
    </w:rPr>
  </w:style>
  <w:style w:type="paragraph" w:customStyle="1" w:styleId="BulletedList">
    <w:name w:val="Bulleted List"/>
    <w:basedOn w:val="Normaallaad"/>
    <w:link w:val="BulletedListChar"/>
    <w:uiPriority w:val="12"/>
    <w:rsid w:val="00B918A1"/>
    <w:pPr>
      <w:numPr>
        <w:numId w:val="5"/>
      </w:numPr>
      <w:spacing w:before="0" w:after="60" w:line="260" w:lineRule="exact"/>
    </w:pPr>
    <w:rPr>
      <w:rFonts w:asciiTheme="minorHAnsi" w:hAnsiTheme="minorHAnsi" w:cstheme="minorBidi"/>
      <w:color w:val="000000"/>
      <w:sz w:val="22"/>
      <w:lang w:val="en-US"/>
    </w:rPr>
  </w:style>
  <w:style w:type="paragraph" w:customStyle="1" w:styleId="pf0">
    <w:name w:val="pf0"/>
    <w:basedOn w:val="Normaallaad"/>
    <w:rsid w:val="009E2F20"/>
    <w:pPr>
      <w:spacing w:before="100" w:beforeAutospacing="1" w:after="100" w:afterAutospacing="1"/>
      <w:jc w:val="left"/>
    </w:pPr>
    <w:rPr>
      <w:rFonts w:eastAsia="Times New Roman"/>
      <w:szCs w:val="24"/>
      <w:lang w:val="en-IE" w:eastAsia="en-IE"/>
    </w:rPr>
  </w:style>
  <w:style w:type="character" w:customStyle="1" w:styleId="oj-super">
    <w:name w:val="oj-super"/>
    <w:basedOn w:val="Liguvaikefont"/>
    <w:rsid w:val="00036B58"/>
  </w:style>
  <w:style w:type="paragraph" w:customStyle="1" w:styleId="Normal1">
    <w:name w:val="Normal1"/>
    <w:basedOn w:val="Normaallaad"/>
    <w:rsid w:val="00B1209D"/>
    <w:pPr>
      <w:spacing w:before="100" w:beforeAutospacing="1" w:after="100" w:afterAutospacing="1"/>
      <w:jc w:val="left"/>
    </w:pPr>
    <w:rPr>
      <w:rFonts w:eastAsia="Times New Roman"/>
      <w:szCs w:val="24"/>
      <w:lang w:val="en-IE" w:eastAsia="en-IE"/>
      <w14:ligatures w14:val="standardContextual"/>
    </w:rPr>
  </w:style>
  <w:style w:type="character" w:customStyle="1" w:styleId="cf11">
    <w:name w:val="cf11"/>
    <w:basedOn w:val="Liguvaikefont"/>
    <w:rsid w:val="00ED7256"/>
    <w:rPr>
      <w:rFonts w:ascii="Segoe UI" w:hAnsi="Segoe UI" w:cs="Segoe UI" w:hint="default"/>
      <w:sz w:val="18"/>
      <w:szCs w:val="18"/>
    </w:rPr>
  </w:style>
  <w:style w:type="character" w:customStyle="1" w:styleId="UnresolvedMention2">
    <w:name w:val="Unresolved Mention2"/>
    <w:basedOn w:val="Liguvaikefont"/>
    <w:uiPriority w:val="99"/>
    <w:semiHidden/>
    <w:unhideWhenUsed/>
    <w:rsid w:val="00B918A1"/>
    <w:rPr>
      <w:color w:val="605E5C"/>
      <w:shd w:val="clear" w:color="auto" w:fill="E1DFDD"/>
    </w:rPr>
  </w:style>
  <w:style w:type="character" w:customStyle="1" w:styleId="PisMrk">
    <w:name w:val="Päis Märk"/>
    <w:basedOn w:val="Liguvaikefont"/>
    <w:link w:val="Pis"/>
    <w:uiPriority w:val="99"/>
    <w:rsid w:val="00B14983"/>
    <w:rPr>
      <w:rFonts w:ascii="Times New Roman" w:hAnsi="Times New Roman" w:cs="Times New Roman"/>
      <w:sz w:val="24"/>
      <w:lang w:val="en-GB"/>
    </w:rPr>
  </w:style>
  <w:style w:type="character" w:customStyle="1" w:styleId="JalusMrk">
    <w:name w:val="Jalus Märk"/>
    <w:basedOn w:val="Liguvaikefont"/>
    <w:link w:val="Jalus"/>
    <w:uiPriority w:val="99"/>
    <w:rsid w:val="00B14983"/>
    <w:rPr>
      <w:rFonts w:ascii="Times New Roman" w:hAnsi="Times New Roman" w:cs="Times New Roman"/>
      <w:sz w:val="24"/>
      <w:lang w:val="en-GB"/>
    </w:rPr>
  </w:style>
  <w:style w:type="paragraph" w:styleId="Allmrkusetekst">
    <w:name w:val="footnote text"/>
    <w:basedOn w:val="Normaallaad"/>
    <w:link w:val="AllmrkusetekstMrk"/>
    <w:uiPriority w:val="99"/>
    <w:semiHidden/>
    <w:unhideWhenUsed/>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Pr>
      <w:rFonts w:ascii="Times New Roman" w:eastAsiaTheme="majorEastAsia" w:hAnsi="Times New Roman" w:cs="Times New Roman"/>
      <w:b/>
      <w:bCs/>
      <w:smallCaps/>
      <w:sz w:val="24"/>
      <w:szCs w:val="28"/>
      <w:lang w:val="en-GB"/>
    </w:rPr>
  </w:style>
  <w:style w:type="character" w:customStyle="1" w:styleId="Pealkiri2Mrk">
    <w:name w:val="Pealkiri 2 Märk"/>
    <w:basedOn w:val="Liguvaikefont"/>
    <w:link w:val="Pealkiri2"/>
    <w:uiPriority w:val="9"/>
    <w:semiHidden/>
    <w:rPr>
      <w:rFonts w:ascii="Times New Roman" w:eastAsiaTheme="majorEastAsia" w:hAnsi="Times New Roman" w:cs="Times New Roman"/>
      <w:b/>
      <w:bCs/>
      <w:sz w:val="24"/>
      <w:szCs w:val="26"/>
      <w:lang w:val="en-GB"/>
    </w:rPr>
  </w:style>
  <w:style w:type="character" w:customStyle="1" w:styleId="Pealkiri3Mrk">
    <w:name w:val="Pealkiri 3 Märk"/>
    <w:basedOn w:val="Liguvaikefont"/>
    <w:link w:val="Pealkiri3"/>
    <w:uiPriority w:val="9"/>
    <w:semiHidden/>
    <w:rPr>
      <w:rFonts w:ascii="Times New Roman" w:eastAsiaTheme="majorEastAsia" w:hAnsi="Times New Roman" w:cs="Times New Roman"/>
      <w:bCs/>
      <w:i/>
      <w:sz w:val="24"/>
      <w:lang w:val="en-GB"/>
    </w:rPr>
  </w:style>
  <w:style w:type="character" w:customStyle="1" w:styleId="Pealkiri4Mrk">
    <w:name w:val="Pealkiri 4 Märk"/>
    <w:basedOn w:val="Liguvaikefont"/>
    <w:link w:val="Pealkiri4"/>
    <w:uiPriority w:val="9"/>
    <w:semiHidden/>
    <w:rPr>
      <w:rFonts w:ascii="Times New Roman" w:eastAsiaTheme="majorEastAsia" w:hAnsi="Times New Roman" w:cs="Times New Roman"/>
      <w:bCs/>
      <w:iCs/>
      <w:sz w:val="24"/>
      <w:lang w:val="en-GB"/>
    </w:rPr>
  </w:style>
  <w:style w:type="character" w:customStyle="1" w:styleId="Pealkiri5Mrk">
    <w:name w:val="Pealkiri 5 Märk"/>
    <w:basedOn w:val="Liguvaikefont"/>
    <w:link w:val="Pealkiri5"/>
    <w:uiPriority w:val="9"/>
    <w:semiHidden/>
    <w:rPr>
      <w:rFonts w:ascii="Times New Roman" w:eastAsiaTheme="majorEastAsia" w:hAnsi="Times New Roman" w:cs="Times New Roman"/>
      <w:sz w:val="24"/>
      <w:lang w:val="en-GB"/>
    </w:rPr>
  </w:style>
  <w:style w:type="character" w:customStyle="1" w:styleId="Pealkiri6Mrk">
    <w:name w:val="Pealkiri 6 Märk"/>
    <w:basedOn w:val="Liguvaikefont"/>
    <w:link w:val="Pealkiri6"/>
    <w:uiPriority w:val="9"/>
    <w:semiHidden/>
    <w:rPr>
      <w:rFonts w:ascii="Times New Roman" w:eastAsiaTheme="majorEastAsia" w:hAnsi="Times New Roman" w:cs="Times New Roman"/>
      <w:iCs/>
      <w:sz w:val="24"/>
      <w:lang w:val="en-GB"/>
    </w:rPr>
  </w:style>
  <w:style w:type="character" w:customStyle="1" w:styleId="Pealkiri7Mrk">
    <w:name w:val="Pealkiri 7 Märk"/>
    <w:basedOn w:val="Liguvaikefont"/>
    <w:link w:val="Pealkiri7"/>
    <w:uiPriority w:val="9"/>
    <w:semiHidden/>
    <w:rPr>
      <w:rFonts w:ascii="Times New Roman" w:eastAsiaTheme="majorEastAsia" w:hAnsi="Times New Roman" w:cs="Times New Roman"/>
      <w:iCs/>
      <w:sz w:val="24"/>
      <w:lang w:val="en-GB"/>
    </w:rPr>
  </w:style>
  <w:style w:type="paragraph" w:styleId="Sisukorrapealkiri">
    <w:name w:val="TOC Heading"/>
    <w:basedOn w:val="Normaallaad"/>
    <w:next w:val="Normaallaad"/>
    <w:uiPriority w:val="39"/>
    <w:semiHidden/>
    <w:unhideWhenUsed/>
    <w:qFormat/>
    <w:pPr>
      <w:spacing w:after="240"/>
      <w:jc w:val="center"/>
    </w:pPr>
    <w:rPr>
      <w:b/>
      <w:sz w:val="28"/>
    </w:rPr>
  </w:style>
  <w:style w:type="paragraph" w:styleId="SK1">
    <w:name w:val="toc 1"/>
    <w:basedOn w:val="Normaallaad"/>
    <w:next w:val="Normaallaad"/>
    <w:uiPriority w:val="39"/>
    <w:semiHidden/>
    <w:unhideWhenUsed/>
    <w:pPr>
      <w:tabs>
        <w:tab w:val="right" w:leader="dot" w:pos="9071"/>
      </w:tabs>
      <w:spacing w:before="60"/>
      <w:ind w:left="850" w:hanging="850"/>
      <w:jc w:val="left"/>
    </w:pPr>
  </w:style>
  <w:style w:type="paragraph" w:styleId="SK2">
    <w:name w:val="toc 2"/>
    <w:basedOn w:val="Normaallaad"/>
    <w:next w:val="Normaallaad"/>
    <w:uiPriority w:val="39"/>
    <w:semiHidden/>
    <w:unhideWhenUsed/>
    <w:pPr>
      <w:tabs>
        <w:tab w:val="right" w:leader="dot" w:pos="9071"/>
      </w:tabs>
      <w:spacing w:before="60"/>
      <w:ind w:left="850" w:hanging="850"/>
      <w:jc w:val="left"/>
    </w:pPr>
  </w:style>
  <w:style w:type="paragraph" w:styleId="SK3">
    <w:name w:val="toc 3"/>
    <w:basedOn w:val="Normaallaad"/>
    <w:next w:val="Normaallaad"/>
    <w:uiPriority w:val="39"/>
    <w:semiHidden/>
    <w:unhideWhenUsed/>
    <w:pPr>
      <w:tabs>
        <w:tab w:val="right" w:leader="dot" w:pos="9071"/>
      </w:tabs>
      <w:spacing w:before="60"/>
      <w:ind w:left="850" w:hanging="850"/>
      <w:jc w:val="left"/>
    </w:pPr>
  </w:style>
  <w:style w:type="paragraph" w:styleId="SK4">
    <w:name w:val="toc 4"/>
    <w:basedOn w:val="Normaallaad"/>
    <w:next w:val="Normaallaad"/>
    <w:uiPriority w:val="39"/>
    <w:semiHidden/>
    <w:unhideWhenUsed/>
    <w:pPr>
      <w:tabs>
        <w:tab w:val="right" w:leader="dot" w:pos="9071"/>
      </w:tabs>
      <w:spacing w:before="60"/>
      <w:ind w:left="850" w:hanging="850"/>
      <w:jc w:val="left"/>
    </w:pPr>
  </w:style>
  <w:style w:type="paragraph" w:styleId="SK5">
    <w:name w:val="toc 5"/>
    <w:basedOn w:val="Normaallaad"/>
    <w:next w:val="Normaallaad"/>
    <w:uiPriority w:val="39"/>
    <w:semiHidden/>
    <w:unhideWhenUsed/>
    <w:pPr>
      <w:tabs>
        <w:tab w:val="right" w:leader="dot" w:pos="9071"/>
      </w:tabs>
      <w:spacing w:before="300"/>
      <w:jc w:val="left"/>
    </w:pPr>
  </w:style>
  <w:style w:type="paragraph" w:styleId="SK6">
    <w:name w:val="toc 6"/>
    <w:basedOn w:val="Normaallaad"/>
    <w:next w:val="Normaallaad"/>
    <w:uiPriority w:val="39"/>
    <w:semiHidden/>
    <w:unhideWhenUsed/>
    <w:pPr>
      <w:tabs>
        <w:tab w:val="right" w:leader="dot" w:pos="9071"/>
      </w:tabs>
      <w:spacing w:before="240"/>
      <w:jc w:val="left"/>
    </w:pPr>
  </w:style>
  <w:style w:type="paragraph" w:styleId="SK7">
    <w:name w:val="toc 7"/>
    <w:basedOn w:val="Normaallaad"/>
    <w:next w:val="Normaallaad"/>
    <w:uiPriority w:val="39"/>
    <w:semiHidden/>
    <w:unhideWhenUsed/>
    <w:pPr>
      <w:tabs>
        <w:tab w:val="right" w:leader="dot" w:pos="9071"/>
      </w:tabs>
      <w:spacing w:before="180"/>
      <w:jc w:val="left"/>
    </w:pPr>
  </w:style>
  <w:style w:type="paragraph" w:styleId="SK8">
    <w:name w:val="toc 8"/>
    <w:basedOn w:val="Normaallaad"/>
    <w:next w:val="Normaallaad"/>
    <w:uiPriority w:val="39"/>
    <w:semiHidden/>
    <w:unhideWhenUsed/>
    <w:pPr>
      <w:tabs>
        <w:tab w:val="right" w:leader="dot" w:pos="9071"/>
      </w:tabs>
      <w:jc w:val="left"/>
    </w:pPr>
  </w:style>
  <w:style w:type="paragraph" w:styleId="SK9">
    <w:name w:val="toc 9"/>
    <w:basedOn w:val="Normaallaad"/>
    <w:next w:val="Normaallaad"/>
    <w:uiPriority w:val="39"/>
    <w:semiHidden/>
    <w:unhideWhenUsed/>
    <w:pPr>
      <w:tabs>
        <w:tab w:val="right" w:leader="dot" w:pos="9071"/>
      </w:tabs>
      <w:ind w:left="1417" w:hanging="1417"/>
      <w:jc w:val="left"/>
    </w:pPr>
  </w:style>
  <w:style w:type="character" w:styleId="Allmrkuseviide">
    <w:name w:val="footnote reference"/>
    <w:basedOn w:val="Liguvaikefont"/>
    <w:link w:val="BVIfnrCarCarCarCarChar"/>
    <w:uiPriority w:val="99"/>
    <w:semiHidden/>
    <w:unhideWhenUsed/>
    <w:rPr>
      <w:shd w:val="clear" w:color="auto" w:fill="auto"/>
      <w:vertAlign w:val="superscript"/>
    </w:rPr>
  </w:style>
  <w:style w:type="paragraph" w:customStyle="1" w:styleId="HeaderSensitivity">
    <w:name w:val="Header Sensitivity"/>
    <w:basedOn w:val="Normaallaad"/>
    <w:rsid w:val="00B14983"/>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rsid w:val="00B14983"/>
    <w:pPr>
      <w:spacing w:before="0"/>
      <w:jc w:val="right"/>
    </w:pPr>
    <w:rPr>
      <w:sz w:val="28"/>
    </w:rPr>
  </w:style>
  <w:style w:type="paragraph" w:customStyle="1" w:styleId="FooterSensitivity">
    <w:name w:val="Footer Sensitivity"/>
    <w:basedOn w:val="Normaallaad"/>
    <w:rsid w:val="00B14983"/>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pPr>
      <w:ind w:left="850"/>
    </w:pPr>
  </w:style>
  <w:style w:type="paragraph" w:customStyle="1" w:styleId="Text2">
    <w:name w:val="Text 2"/>
    <w:basedOn w:val="Normaallaad"/>
    <w:pPr>
      <w:ind w:left="1417"/>
    </w:pPr>
  </w:style>
  <w:style w:type="paragraph" w:customStyle="1" w:styleId="Text3">
    <w:name w:val="Text 3"/>
    <w:basedOn w:val="Normaallaad"/>
    <w:pPr>
      <w:ind w:left="1984"/>
    </w:pPr>
  </w:style>
  <w:style w:type="paragraph" w:customStyle="1" w:styleId="Text4">
    <w:name w:val="Text 4"/>
    <w:basedOn w:val="Normaallaad"/>
    <w:pPr>
      <w:ind w:left="2551"/>
    </w:pPr>
  </w:style>
  <w:style w:type="paragraph" w:customStyle="1" w:styleId="Text5">
    <w:name w:val="Text 5"/>
    <w:basedOn w:val="Normaallaad"/>
    <w:pPr>
      <w:ind w:left="3118"/>
    </w:pPr>
  </w:style>
  <w:style w:type="paragraph" w:customStyle="1" w:styleId="Text6">
    <w:name w:val="Text 6"/>
    <w:basedOn w:val="Normaallaad"/>
    <w:pPr>
      <w:ind w:left="3685"/>
    </w:pPr>
  </w:style>
  <w:style w:type="paragraph" w:customStyle="1" w:styleId="NormalCentered">
    <w:name w:val="Normal Centered"/>
    <w:basedOn w:val="Normaallaad"/>
    <w:pPr>
      <w:jc w:val="center"/>
    </w:pPr>
  </w:style>
  <w:style w:type="paragraph" w:customStyle="1" w:styleId="NormalLeft">
    <w:name w:val="Normal Left"/>
    <w:basedOn w:val="Normaallaad"/>
    <w:pPr>
      <w:jc w:val="left"/>
    </w:pPr>
  </w:style>
  <w:style w:type="paragraph" w:customStyle="1" w:styleId="NormalRight">
    <w:name w:val="Normal Right"/>
    <w:basedOn w:val="Normaallaad"/>
    <w:pPr>
      <w:jc w:val="right"/>
    </w:pPr>
  </w:style>
  <w:style w:type="paragraph" w:customStyle="1" w:styleId="QuotedText">
    <w:name w:val="Quoted Text"/>
    <w:basedOn w:val="Normaallaad"/>
    <w:pPr>
      <w:ind w:left="1417"/>
    </w:pPr>
  </w:style>
  <w:style w:type="paragraph" w:customStyle="1" w:styleId="Point0">
    <w:name w:val="Point 0"/>
    <w:basedOn w:val="Normaallaad"/>
    <w:pPr>
      <w:ind w:left="850" w:hanging="850"/>
    </w:pPr>
  </w:style>
  <w:style w:type="paragraph" w:customStyle="1" w:styleId="Point1">
    <w:name w:val="Point 1"/>
    <w:basedOn w:val="Normaallaad"/>
    <w:pPr>
      <w:ind w:left="1417" w:hanging="567"/>
    </w:pPr>
  </w:style>
  <w:style w:type="paragraph" w:customStyle="1" w:styleId="Point2">
    <w:name w:val="Point 2"/>
    <w:basedOn w:val="Normaallaad"/>
    <w:pPr>
      <w:ind w:left="1984" w:hanging="567"/>
    </w:pPr>
  </w:style>
  <w:style w:type="paragraph" w:customStyle="1" w:styleId="Point3">
    <w:name w:val="Point 3"/>
    <w:basedOn w:val="Normaallaad"/>
    <w:pPr>
      <w:ind w:left="2551" w:hanging="567"/>
    </w:pPr>
  </w:style>
  <w:style w:type="paragraph" w:customStyle="1" w:styleId="Point4">
    <w:name w:val="Point 4"/>
    <w:basedOn w:val="Normaallaad"/>
    <w:pPr>
      <w:ind w:left="3118" w:hanging="567"/>
    </w:pPr>
  </w:style>
  <w:style w:type="paragraph" w:customStyle="1" w:styleId="Point5">
    <w:name w:val="Point 5"/>
    <w:basedOn w:val="Normaallaad"/>
    <w:pPr>
      <w:ind w:left="3685" w:hanging="567"/>
    </w:pPr>
  </w:style>
  <w:style w:type="paragraph" w:customStyle="1" w:styleId="Tiret0">
    <w:name w:val="Tiret 0"/>
    <w:basedOn w:val="Point0"/>
    <w:pPr>
      <w:numPr>
        <w:numId w:val="7"/>
      </w:numPr>
    </w:pPr>
  </w:style>
  <w:style w:type="paragraph" w:customStyle="1" w:styleId="Tiret1">
    <w:name w:val="Tiret 1"/>
    <w:basedOn w:val="Point1"/>
    <w:pPr>
      <w:numPr>
        <w:numId w:val="8"/>
      </w:numPr>
    </w:pPr>
  </w:style>
  <w:style w:type="paragraph" w:customStyle="1" w:styleId="Tiret2">
    <w:name w:val="Tiret 2"/>
    <w:basedOn w:val="Point2"/>
    <w:pPr>
      <w:numPr>
        <w:numId w:val="9"/>
      </w:numPr>
    </w:pPr>
  </w:style>
  <w:style w:type="paragraph" w:customStyle="1" w:styleId="Tiret3">
    <w:name w:val="Tiret 3"/>
    <w:basedOn w:val="Point3"/>
    <w:pPr>
      <w:numPr>
        <w:numId w:val="10"/>
      </w:numPr>
    </w:pPr>
  </w:style>
  <w:style w:type="paragraph" w:customStyle="1" w:styleId="Tiret4">
    <w:name w:val="Tiret 4"/>
    <w:basedOn w:val="Point4"/>
    <w:pPr>
      <w:numPr>
        <w:numId w:val="11"/>
      </w:numPr>
    </w:pPr>
  </w:style>
  <w:style w:type="paragraph" w:customStyle="1" w:styleId="Tiret5">
    <w:name w:val="Tiret 5"/>
    <w:basedOn w:val="Point5"/>
    <w:pPr>
      <w:numPr>
        <w:numId w:val="12"/>
      </w:numPr>
    </w:pPr>
  </w:style>
  <w:style w:type="paragraph" w:customStyle="1" w:styleId="PointDouble0">
    <w:name w:val="PointDouble 0"/>
    <w:basedOn w:val="Normaallaad"/>
    <w:pPr>
      <w:tabs>
        <w:tab w:val="left" w:pos="850"/>
      </w:tabs>
      <w:ind w:left="1417" w:hanging="1417"/>
    </w:pPr>
  </w:style>
  <w:style w:type="paragraph" w:customStyle="1" w:styleId="PointDouble1">
    <w:name w:val="PointDouble 1"/>
    <w:basedOn w:val="Normaallaad"/>
    <w:pPr>
      <w:tabs>
        <w:tab w:val="left" w:pos="1417"/>
      </w:tabs>
      <w:ind w:left="1984" w:hanging="1134"/>
    </w:pPr>
  </w:style>
  <w:style w:type="paragraph" w:customStyle="1" w:styleId="PointDouble2">
    <w:name w:val="PointDouble 2"/>
    <w:basedOn w:val="Normaallaad"/>
    <w:pPr>
      <w:tabs>
        <w:tab w:val="left" w:pos="1984"/>
      </w:tabs>
      <w:ind w:left="2551" w:hanging="1134"/>
    </w:pPr>
  </w:style>
  <w:style w:type="paragraph" w:customStyle="1" w:styleId="PointDouble3">
    <w:name w:val="PointDouble 3"/>
    <w:basedOn w:val="Normaallaad"/>
    <w:pPr>
      <w:tabs>
        <w:tab w:val="left" w:pos="2551"/>
      </w:tabs>
      <w:ind w:left="3118" w:hanging="1134"/>
    </w:pPr>
  </w:style>
  <w:style w:type="paragraph" w:customStyle="1" w:styleId="PointDouble4">
    <w:name w:val="PointDouble 4"/>
    <w:basedOn w:val="Normaallaad"/>
    <w:pPr>
      <w:tabs>
        <w:tab w:val="left" w:pos="3118"/>
      </w:tabs>
      <w:ind w:left="3685" w:hanging="1134"/>
    </w:pPr>
  </w:style>
  <w:style w:type="paragraph" w:customStyle="1" w:styleId="PointTriple0">
    <w:name w:val="PointTriple 0"/>
    <w:basedOn w:val="Normaallaad"/>
    <w:pPr>
      <w:tabs>
        <w:tab w:val="left" w:pos="850"/>
        <w:tab w:val="left" w:pos="1417"/>
      </w:tabs>
      <w:ind w:left="1984" w:hanging="1984"/>
    </w:pPr>
  </w:style>
  <w:style w:type="paragraph" w:customStyle="1" w:styleId="PointTriple1">
    <w:name w:val="PointTriple 1"/>
    <w:basedOn w:val="Normaallaad"/>
    <w:pPr>
      <w:tabs>
        <w:tab w:val="left" w:pos="1417"/>
        <w:tab w:val="left" w:pos="1984"/>
      </w:tabs>
      <w:ind w:left="2551" w:hanging="1701"/>
    </w:pPr>
  </w:style>
  <w:style w:type="paragraph" w:customStyle="1" w:styleId="PointTriple2">
    <w:name w:val="PointTriple 2"/>
    <w:basedOn w:val="Normaallaad"/>
    <w:pPr>
      <w:tabs>
        <w:tab w:val="left" w:pos="1984"/>
        <w:tab w:val="left" w:pos="2551"/>
      </w:tabs>
      <w:ind w:left="3118" w:hanging="1701"/>
    </w:pPr>
  </w:style>
  <w:style w:type="paragraph" w:customStyle="1" w:styleId="PointTriple3">
    <w:name w:val="PointTriple 3"/>
    <w:basedOn w:val="Normaallaad"/>
    <w:pPr>
      <w:tabs>
        <w:tab w:val="left" w:pos="2551"/>
        <w:tab w:val="left" w:pos="3118"/>
      </w:tabs>
      <w:ind w:left="3685" w:hanging="1701"/>
    </w:pPr>
  </w:style>
  <w:style w:type="paragraph" w:customStyle="1" w:styleId="PointTriple4">
    <w:name w:val="PointTriple 4"/>
    <w:basedOn w:val="Normaallaad"/>
    <w:pPr>
      <w:tabs>
        <w:tab w:val="left" w:pos="3118"/>
        <w:tab w:val="left" w:pos="3685"/>
      </w:tabs>
      <w:ind w:left="4252" w:hanging="1701"/>
    </w:pPr>
  </w:style>
  <w:style w:type="paragraph" w:customStyle="1" w:styleId="NumPar1">
    <w:name w:val="NumPar 1"/>
    <w:basedOn w:val="Normaallaad"/>
    <w:next w:val="Text1"/>
    <w:pPr>
      <w:numPr>
        <w:numId w:val="13"/>
      </w:numPr>
    </w:pPr>
  </w:style>
  <w:style w:type="paragraph" w:customStyle="1" w:styleId="NumPar2">
    <w:name w:val="NumPar 2"/>
    <w:basedOn w:val="Normaallaad"/>
    <w:next w:val="Text1"/>
    <w:pPr>
      <w:numPr>
        <w:ilvl w:val="1"/>
        <w:numId w:val="13"/>
      </w:numPr>
    </w:pPr>
  </w:style>
  <w:style w:type="paragraph" w:customStyle="1" w:styleId="NumPar3">
    <w:name w:val="NumPar 3"/>
    <w:basedOn w:val="Normaallaad"/>
    <w:next w:val="Text1"/>
    <w:pPr>
      <w:numPr>
        <w:ilvl w:val="2"/>
        <w:numId w:val="13"/>
      </w:numPr>
    </w:pPr>
  </w:style>
  <w:style w:type="paragraph" w:customStyle="1" w:styleId="NumPar4">
    <w:name w:val="NumPar 4"/>
    <w:basedOn w:val="Normaallaad"/>
    <w:next w:val="Text1"/>
    <w:pPr>
      <w:numPr>
        <w:ilvl w:val="3"/>
        <w:numId w:val="13"/>
      </w:numPr>
    </w:pPr>
  </w:style>
  <w:style w:type="paragraph" w:customStyle="1" w:styleId="NumPar5">
    <w:name w:val="NumPar 5"/>
    <w:basedOn w:val="Normaallaad"/>
    <w:next w:val="Text2"/>
    <w:pPr>
      <w:numPr>
        <w:ilvl w:val="4"/>
        <w:numId w:val="13"/>
      </w:numPr>
    </w:pPr>
  </w:style>
  <w:style w:type="paragraph" w:customStyle="1" w:styleId="NumPar6">
    <w:name w:val="NumPar 6"/>
    <w:basedOn w:val="Normaallaad"/>
    <w:next w:val="Text2"/>
    <w:pPr>
      <w:numPr>
        <w:ilvl w:val="5"/>
        <w:numId w:val="13"/>
      </w:numPr>
    </w:pPr>
  </w:style>
  <w:style w:type="paragraph" w:customStyle="1" w:styleId="NumPar7">
    <w:name w:val="NumPar 7"/>
    <w:basedOn w:val="Normaallaad"/>
    <w:next w:val="Text2"/>
    <w:pPr>
      <w:numPr>
        <w:ilvl w:val="6"/>
        <w:numId w:val="13"/>
      </w:numPr>
    </w:pPr>
  </w:style>
  <w:style w:type="paragraph" w:customStyle="1" w:styleId="ManualNumPar1">
    <w:name w:val="Manual NumPar 1"/>
    <w:basedOn w:val="Normaallaad"/>
    <w:next w:val="Text1"/>
    <w:pPr>
      <w:ind w:left="850" w:hanging="850"/>
    </w:pPr>
  </w:style>
  <w:style w:type="paragraph" w:customStyle="1" w:styleId="ManualNumPar2">
    <w:name w:val="Manual NumPar 2"/>
    <w:basedOn w:val="Normaallaad"/>
    <w:next w:val="Text1"/>
    <w:pPr>
      <w:ind w:left="850" w:hanging="850"/>
    </w:pPr>
  </w:style>
  <w:style w:type="paragraph" w:customStyle="1" w:styleId="ManualNumPar3">
    <w:name w:val="Manual NumPar 3"/>
    <w:basedOn w:val="Normaallaad"/>
    <w:next w:val="Text1"/>
    <w:pPr>
      <w:ind w:left="850" w:hanging="850"/>
    </w:pPr>
  </w:style>
  <w:style w:type="paragraph" w:customStyle="1" w:styleId="ManualNumPar4">
    <w:name w:val="Manual NumPar 4"/>
    <w:basedOn w:val="Normaallaad"/>
    <w:next w:val="Text1"/>
    <w:pPr>
      <w:ind w:left="850" w:hanging="850"/>
    </w:pPr>
  </w:style>
  <w:style w:type="paragraph" w:customStyle="1" w:styleId="ManualNumPar5">
    <w:name w:val="Manual NumPar 5"/>
    <w:basedOn w:val="Normaallaad"/>
    <w:next w:val="Text2"/>
    <w:pPr>
      <w:ind w:left="1417" w:hanging="1417"/>
    </w:pPr>
  </w:style>
  <w:style w:type="paragraph" w:customStyle="1" w:styleId="ManualNumPar6">
    <w:name w:val="Manual NumPar 6"/>
    <w:basedOn w:val="Normaallaad"/>
    <w:next w:val="Text2"/>
    <w:pPr>
      <w:ind w:left="1417" w:hanging="1417"/>
    </w:pPr>
  </w:style>
  <w:style w:type="paragraph" w:customStyle="1" w:styleId="ManualNumPar7">
    <w:name w:val="Manual NumPar 7"/>
    <w:basedOn w:val="Normaallaad"/>
    <w:next w:val="Text2"/>
    <w:pPr>
      <w:ind w:left="1417" w:hanging="1417"/>
    </w:pPr>
  </w:style>
  <w:style w:type="paragraph" w:customStyle="1" w:styleId="QuotedNumPar">
    <w:name w:val="Quoted NumPar"/>
    <w:basedOn w:val="Normaallaad"/>
    <w:pPr>
      <w:ind w:left="1417" w:hanging="567"/>
    </w:pPr>
  </w:style>
  <w:style w:type="paragraph" w:customStyle="1" w:styleId="ManualHeading1">
    <w:name w:val="Manual Heading 1"/>
    <w:basedOn w:val="Normaallaad"/>
    <w:next w:val="Text1"/>
    <w:pPr>
      <w:keepNext/>
      <w:tabs>
        <w:tab w:val="left" w:pos="850"/>
      </w:tabs>
      <w:spacing w:before="360"/>
      <w:ind w:left="850" w:hanging="850"/>
      <w:outlineLvl w:val="0"/>
    </w:pPr>
    <w:rPr>
      <w:b/>
      <w:smallCaps/>
    </w:rPr>
  </w:style>
  <w:style w:type="paragraph" w:customStyle="1" w:styleId="ManualHeading2">
    <w:name w:val="Manual Heading 2"/>
    <w:basedOn w:val="Normaallaad"/>
    <w:next w:val="Text1"/>
    <w:pPr>
      <w:keepNext/>
      <w:tabs>
        <w:tab w:val="left" w:pos="850"/>
      </w:tabs>
      <w:ind w:left="850" w:hanging="850"/>
      <w:outlineLvl w:val="1"/>
    </w:pPr>
    <w:rPr>
      <w:b/>
    </w:rPr>
  </w:style>
  <w:style w:type="paragraph" w:customStyle="1" w:styleId="ManualHeading3">
    <w:name w:val="Manual Heading 3"/>
    <w:basedOn w:val="Normaallaad"/>
    <w:next w:val="Text1"/>
    <w:pPr>
      <w:keepNext/>
      <w:tabs>
        <w:tab w:val="left" w:pos="850"/>
      </w:tabs>
      <w:ind w:left="850" w:hanging="850"/>
      <w:outlineLvl w:val="2"/>
    </w:pPr>
    <w:rPr>
      <w:i/>
    </w:rPr>
  </w:style>
  <w:style w:type="paragraph" w:customStyle="1" w:styleId="ManualHeading4">
    <w:name w:val="Manual Heading 4"/>
    <w:basedOn w:val="Normaallaad"/>
    <w:next w:val="Text1"/>
    <w:pPr>
      <w:keepNext/>
      <w:tabs>
        <w:tab w:val="left" w:pos="850"/>
      </w:tabs>
      <w:ind w:left="850" w:hanging="850"/>
      <w:outlineLvl w:val="3"/>
    </w:pPr>
  </w:style>
  <w:style w:type="paragraph" w:customStyle="1" w:styleId="ManualHeading5">
    <w:name w:val="Manual Heading 5"/>
    <w:basedOn w:val="Normaallaad"/>
    <w:next w:val="Text2"/>
    <w:pPr>
      <w:keepNext/>
      <w:tabs>
        <w:tab w:val="left" w:pos="1417"/>
      </w:tabs>
      <w:ind w:left="1417" w:hanging="1417"/>
      <w:outlineLvl w:val="4"/>
    </w:pPr>
  </w:style>
  <w:style w:type="paragraph" w:customStyle="1" w:styleId="ManualHeading6">
    <w:name w:val="Manual Heading 6"/>
    <w:basedOn w:val="Normaallaad"/>
    <w:next w:val="Text2"/>
    <w:pPr>
      <w:keepNext/>
      <w:tabs>
        <w:tab w:val="left" w:pos="1417"/>
      </w:tabs>
      <w:ind w:left="1417" w:hanging="1417"/>
      <w:outlineLvl w:val="5"/>
    </w:pPr>
  </w:style>
  <w:style w:type="paragraph" w:customStyle="1" w:styleId="ManualHeading7">
    <w:name w:val="Manual Heading 7"/>
    <w:basedOn w:val="Normaallaad"/>
    <w:next w:val="Text2"/>
    <w:pPr>
      <w:keepNext/>
      <w:tabs>
        <w:tab w:val="left" w:pos="1417"/>
      </w:tabs>
      <w:ind w:left="1417" w:hanging="1417"/>
      <w:outlineLvl w:val="6"/>
    </w:pPr>
  </w:style>
  <w:style w:type="paragraph" w:customStyle="1" w:styleId="ChapterTitle">
    <w:name w:val="ChapterTitle"/>
    <w:basedOn w:val="Normaallaad"/>
    <w:next w:val="Normaallaad"/>
    <w:pPr>
      <w:keepNext/>
      <w:spacing w:after="360"/>
      <w:jc w:val="center"/>
    </w:pPr>
    <w:rPr>
      <w:b/>
      <w:sz w:val="32"/>
    </w:rPr>
  </w:style>
  <w:style w:type="paragraph" w:customStyle="1" w:styleId="PartTitle">
    <w:name w:val="PartTitle"/>
    <w:basedOn w:val="Normaallaad"/>
    <w:next w:val="ChapterTitle"/>
    <w:pPr>
      <w:keepNext/>
      <w:pageBreakBefore/>
      <w:spacing w:after="360"/>
      <w:jc w:val="center"/>
    </w:pPr>
    <w:rPr>
      <w:b/>
      <w:sz w:val="36"/>
    </w:rPr>
  </w:style>
  <w:style w:type="paragraph" w:customStyle="1" w:styleId="SectionTitle">
    <w:name w:val="SectionTitle"/>
    <w:basedOn w:val="Normaallaad"/>
    <w:next w:val="Pealkiri1"/>
    <w:pPr>
      <w:keepNext/>
      <w:spacing w:after="360"/>
      <w:jc w:val="center"/>
    </w:pPr>
    <w:rPr>
      <w:b/>
      <w:smallCaps/>
      <w:sz w:val="28"/>
    </w:rPr>
  </w:style>
  <w:style w:type="paragraph" w:customStyle="1" w:styleId="TableTitle">
    <w:name w:val="Table Title"/>
    <w:basedOn w:val="Normaallaad"/>
    <w:next w:val="Normaallaad"/>
    <w:pPr>
      <w:jc w:val="center"/>
    </w:pPr>
    <w:rPr>
      <w:b/>
    </w:rPr>
  </w:style>
  <w:style w:type="character" w:customStyle="1" w:styleId="Marker">
    <w:name w:val="Marker"/>
    <w:basedOn w:val="Liguvaikefont"/>
    <w:rsid w:val="00254C90"/>
    <w:rPr>
      <w:color w:val="0000FF"/>
      <w:bdr w:val="none" w:sz="0" w:space="0" w:color="auto"/>
      <w:shd w:val="clear" w:color="auto" w:fill="auto"/>
    </w:rPr>
  </w:style>
  <w:style w:type="character" w:customStyle="1" w:styleId="Marker1">
    <w:name w:val="Marker1"/>
    <w:basedOn w:val="Liguvaikefont"/>
    <w:rPr>
      <w:color w:val="008000"/>
      <w:shd w:val="clear" w:color="auto" w:fill="auto"/>
    </w:rPr>
  </w:style>
  <w:style w:type="character" w:customStyle="1" w:styleId="Marker2">
    <w:name w:val="Marker2"/>
    <w:basedOn w:val="Liguvaikefont"/>
    <w:rPr>
      <w:color w:val="FF0000"/>
      <w:shd w:val="clear" w:color="auto" w:fill="auto"/>
    </w:rPr>
  </w:style>
  <w:style w:type="paragraph" w:customStyle="1" w:styleId="Point0number">
    <w:name w:val="Point 0 (number)"/>
    <w:basedOn w:val="Normaallaad"/>
    <w:pPr>
      <w:numPr>
        <w:numId w:val="15"/>
      </w:numPr>
    </w:pPr>
  </w:style>
  <w:style w:type="paragraph" w:customStyle="1" w:styleId="Point1number">
    <w:name w:val="Point 1 (number)"/>
    <w:basedOn w:val="Normaallaad"/>
    <w:pPr>
      <w:numPr>
        <w:ilvl w:val="2"/>
        <w:numId w:val="15"/>
      </w:numPr>
    </w:pPr>
  </w:style>
  <w:style w:type="paragraph" w:customStyle="1" w:styleId="Point2number">
    <w:name w:val="Point 2 (number)"/>
    <w:basedOn w:val="Normaallaad"/>
    <w:pPr>
      <w:numPr>
        <w:ilvl w:val="4"/>
        <w:numId w:val="15"/>
      </w:numPr>
    </w:pPr>
  </w:style>
  <w:style w:type="paragraph" w:customStyle="1" w:styleId="Point3number">
    <w:name w:val="Point 3 (number)"/>
    <w:basedOn w:val="Normaallaad"/>
    <w:pPr>
      <w:numPr>
        <w:ilvl w:val="6"/>
        <w:numId w:val="15"/>
      </w:numPr>
    </w:pPr>
  </w:style>
  <w:style w:type="paragraph" w:customStyle="1" w:styleId="Point0letter">
    <w:name w:val="Point 0 (letter)"/>
    <w:basedOn w:val="Normaallaad"/>
    <w:pPr>
      <w:numPr>
        <w:ilvl w:val="1"/>
        <w:numId w:val="15"/>
      </w:numPr>
    </w:pPr>
  </w:style>
  <w:style w:type="paragraph" w:customStyle="1" w:styleId="Point1letter">
    <w:name w:val="Point 1 (letter)"/>
    <w:basedOn w:val="Normaallaad"/>
    <w:pPr>
      <w:numPr>
        <w:ilvl w:val="3"/>
        <w:numId w:val="15"/>
      </w:numPr>
    </w:pPr>
  </w:style>
  <w:style w:type="paragraph" w:customStyle="1" w:styleId="Point2letter">
    <w:name w:val="Point 2 (letter)"/>
    <w:basedOn w:val="Normaallaad"/>
    <w:pPr>
      <w:numPr>
        <w:ilvl w:val="5"/>
        <w:numId w:val="15"/>
      </w:numPr>
    </w:pPr>
  </w:style>
  <w:style w:type="paragraph" w:customStyle="1" w:styleId="Point3letter">
    <w:name w:val="Point 3 (letter)"/>
    <w:basedOn w:val="Normaallaad"/>
    <w:pPr>
      <w:numPr>
        <w:ilvl w:val="7"/>
        <w:numId w:val="15"/>
      </w:numPr>
    </w:pPr>
  </w:style>
  <w:style w:type="paragraph" w:customStyle="1" w:styleId="Point4letter">
    <w:name w:val="Point 4 (letter)"/>
    <w:basedOn w:val="Normaallaad"/>
    <w:pPr>
      <w:numPr>
        <w:ilvl w:val="8"/>
        <w:numId w:val="15"/>
      </w:numPr>
    </w:pPr>
  </w:style>
  <w:style w:type="paragraph" w:customStyle="1" w:styleId="Bullet0">
    <w:name w:val="Bullet 0"/>
    <w:basedOn w:val="Normaallaad"/>
    <w:pPr>
      <w:numPr>
        <w:numId w:val="16"/>
      </w:numPr>
    </w:pPr>
  </w:style>
  <w:style w:type="paragraph" w:customStyle="1" w:styleId="Bullet1">
    <w:name w:val="Bullet 1"/>
    <w:basedOn w:val="Normaallaad"/>
    <w:pPr>
      <w:numPr>
        <w:numId w:val="17"/>
      </w:numPr>
    </w:pPr>
  </w:style>
  <w:style w:type="paragraph" w:customStyle="1" w:styleId="Bullet2">
    <w:name w:val="Bullet 2"/>
    <w:basedOn w:val="Normaallaad"/>
    <w:pPr>
      <w:numPr>
        <w:numId w:val="18"/>
      </w:numPr>
    </w:pPr>
  </w:style>
  <w:style w:type="paragraph" w:customStyle="1" w:styleId="Bullet3">
    <w:name w:val="Bullet 3"/>
    <w:basedOn w:val="Normaallaad"/>
    <w:pPr>
      <w:numPr>
        <w:numId w:val="19"/>
      </w:numPr>
    </w:pPr>
  </w:style>
  <w:style w:type="paragraph" w:customStyle="1" w:styleId="Bullet4">
    <w:name w:val="Bullet 4"/>
    <w:basedOn w:val="Normaallaad"/>
    <w:pPr>
      <w:numPr>
        <w:numId w:val="20"/>
      </w:numPr>
    </w:pPr>
  </w:style>
  <w:style w:type="paragraph" w:customStyle="1" w:styleId="Langue">
    <w:name w:val="Langue"/>
    <w:basedOn w:val="Normaallaad"/>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pPr>
      <w:spacing w:before="0" w:after="0"/>
      <w:jc w:val="left"/>
    </w:pPr>
    <w:rPr>
      <w:rFonts w:ascii="Arial" w:hAnsi="Arial" w:cs="Arial"/>
    </w:rPr>
  </w:style>
  <w:style w:type="paragraph" w:customStyle="1" w:styleId="Emission">
    <w:name w:val="Emission"/>
    <w:basedOn w:val="Normaallaad"/>
    <w:next w:val="Rfrenceinstitutionnelle"/>
    <w:pPr>
      <w:spacing w:before="0" w:after="0"/>
      <w:ind w:left="5103"/>
      <w:jc w:val="left"/>
    </w:pPr>
  </w:style>
  <w:style w:type="paragraph" w:customStyle="1" w:styleId="Rfrenceinstitutionnelle">
    <w:name w:val="Référence institutionnelle"/>
    <w:basedOn w:val="Normaallaad"/>
    <w:next w:val="Confidentialit"/>
    <w:pPr>
      <w:spacing w:before="0" w:after="240"/>
      <w:ind w:left="5103"/>
      <w:jc w:val="left"/>
    </w:pPr>
  </w:style>
  <w:style w:type="paragraph" w:customStyle="1" w:styleId="Pagedecouverture">
    <w:name w:val="Page de couverture"/>
    <w:basedOn w:val="Normaallaad"/>
    <w:next w:val="Normaallaad"/>
    <w:pPr>
      <w:spacing w:before="0" w:after="0"/>
    </w:pPr>
  </w:style>
  <w:style w:type="paragraph" w:customStyle="1" w:styleId="Declassification">
    <w:name w:val="Declassification"/>
    <w:basedOn w:val="Normaallaad"/>
    <w:next w:val="Normaallaad"/>
    <w:pPr>
      <w:spacing w:before="0" w:after="0"/>
    </w:pPr>
  </w:style>
  <w:style w:type="paragraph" w:customStyle="1" w:styleId="Disclaimer">
    <w:name w:val="Disclaimer"/>
    <w:basedOn w:val="Normaallaa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pPr>
      <w:spacing w:before="0" w:after="0" w:line="276" w:lineRule="auto"/>
      <w:ind w:left="5103"/>
      <w:jc w:val="left"/>
    </w:pPr>
    <w:rPr>
      <w:sz w:val="28"/>
    </w:rPr>
  </w:style>
  <w:style w:type="paragraph" w:customStyle="1" w:styleId="DateMarking">
    <w:name w:val="DateMarking"/>
    <w:basedOn w:val="Normaallaad"/>
    <w:pPr>
      <w:spacing w:before="0" w:after="0" w:line="276" w:lineRule="auto"/>
      <w:ind w:left="5103"/>
      <w:jc w:val="left"/>
    </w:pPr>
    <w:rPr>
      <w:i/>
      <w:sz w:val="28"/>
    </w:rPr>
  </w:style>
  <w:style w:type="paragraph" w:customStyle="1" w:styleId="ReleasableTo">
    <w:name w:val="ReleasableTo"/>
    <w:basedOn w:val="Normaallaad"/>
    <w:pPr>
      <w:spacing w:before="0" w:after="0" w:line="276" w:lineRule="auto"/>
      <w:ind w:left="5103"/>
      <w:jc w:val="left"/>
    </w:pPr>
    <w:rPr>
      <w:i/>
      <w:sz w:val="28"/>
    </w:rPr>
  </w:style>
  <w:style w:type="paragraph" w:customStyle="1" w:styleId="Annexetitreexpos">
    <w:name w:val="Annexe titre (exposé)"/>
    <w:basedOn w:val="Normaallaad"/>
    <w:next w:val="Normaallaad"/>
    <w:pPr>
      <w:jc w:val="center"/>
    </w:pPr>
    <w:rPr>
      <w:b/>
      <w:u w:val="single"/>
    </w:rPr>
  </w:style>
  <w:style w:type="paragraph" w:customStyle="1" w:styleId="Annexetitre">
    <w:name w:val="Annexe titre"/>
    <w:basedOn w:val="Normaallaad"/>
    <w:next w:val="Normaallaad"/>
    <w:pPr>
      <w:jc w:val="center"/>
    </w:pPr>
    <w:rPr>
      <w:b/>
      <w:u w:val="single"/>
    </w:rPr>
  </w:style>
  <w:style w:type="paragraph" w:customStyle="1" w:styleId="Annexetitrefichefinancire">
    <w:name w:val="Annexe titre (fiche financière)"/>
    <w:basedOn w:val="Normaallaad"/>
    <w:next w:val="Normaallaad"/>
    <w:pPr>
      <w:jc w:val="center"/>
    </w:pPr>
    <w:rPr>
      <w:b/>
      <w:u w:val="single"/>
    </w:rPr>
  </w:style>
  <w:style w:type="paragraph" w:customStyle="1" w:styleId="Applicationdirecte">
    <w:name w:val="Application directe"/>
    <w:basedOn w:val="Normaallaad"/>
    <w:next w:val="Fait"/>
    <w:pPr>
      <w:spacing w:before="480"/>
    </w:pPr>
  </w:style>
  <w:style w:type="paragraph" w:customStyle="1" w:styleId="Avertissementtitre">
    <w:name w:val="Avertissement titre"/>
    <w:basedOn w:val="Normaallaad"/>
    <w:next w:val="Normaallaad"/>
    <w:pPr>
      <w:keepNext/>
      <w:spacing w:before="480"/>
    </w:pPr>
    <w:rPr>
      <w:u w:val="single"/>
    </w:rPr>
  </w:style>
  <w:style w:type="paragraph" w:customStyle="1" w:styleId="Confidence">
    <w:name w:val="Confidence"/>
    <w:basedOn w:val="Normaallaad"/>
    <w:next w:val="Normaallaad"/>
    <w:pPr>
      <w:spacing w:before="360"/>
      <w:jc w:val="center"/>
    </w:pPr>
  </w:style>
  <w:style w:type="paragraph" w:customStyle="1" w:styleId="Confidentialit">
    <w:name w:val="Confidentialité"/>
    <w:basedOn w:val="Normaallaad"/>
    <w:next w:val="TypedudocumentPagedecouverture"/>
    <w:pPr>
      <w:spacing w:before="240" w:after="240"/>
      <w:ind w:left="5103"/>
      <w:jc w:val="left"/>
    </w:pPr>
    <w:rPr>
      <w:i/>
      <w:sz w:val="32"/>
    </w:rPr>
  </w:style>
  <w:style w:type="paragraph" w:customStyle="1" w:styleId="Considrant">
    <w:name w:val="Considérant"/>
    <w:basedOn w:val="Normaallaad"/>
    <w:pPr>
      <w:numPr>
        <w:numId w:val="21"/>
      </w:numPr>
    </w:pPr>
  </w:style>
  <w:style w:type="paragraph" w:customStyle="1" w:styleId="Corrigendum">
    <w:name w:val="Corrigendum"/>
    <w:basedOn w:val="Normaallaad"/>
    <w:next w:val="Normaallaad"/>
    <w:pPr>
      <w:spacing w:before="0" w:after="240"/>
      <w:jc w:val="left"/>
    </w:pPr>
  </w:style>
  <w:style w:type="paragraph" w:customStyle="1" w:styleId="Datedadoption">
    <w:name w:val="Date d'adoption"/>
    <w:basedOn w:val="Normaallaad"/>
    <w:next w:val="Titreobjet"/>
    <w:pPr>
      <w:spacing w:before="360" w:after="0"/>
      <w:jc w:val="center"/>
    </w:pPr>
    <w:rPr>
      <w:b/>
    </w:rPr>
  </w:style>
  <w:style w:type="paragraph" w:customStyle="1" w:styleId="Exposdesmotifstitre">
    <w:name w:val="Exposé des motifs titre"/>
    <w:basedOn w:val="Normaallaad"/>
    <w:next w:val="Normaallaad"/>
    <w:pPr>
      <w:jc w:val="center"/>
    </w:pPr>
    <w:rPr>
      <w:b/>
      <w:u w:val="single"/>
    </w:rPr>
  </w:style>
  <w:style w:type="paragraph" w:customStyle="1" w:styleId="Fait">
    <w:name w:val="Fait à"/>
    <w:basedOn w:val="Normaallaad"/>
    <w:next w:val="Institutionquisigne"/>
    <w:pPr>
      <w:keepNext/>
      <w:spacing w:after="0"/>
    </w:pPr>
  </w:style>
  <w:style w:type="paragraph" w:customStyle="1" w:styleId="Formuledadoption">
    <w:name w:val="Formule d'adoption"/>
    <w:basedOn w:val="Normaallaad"/>
    <w:next w:val="Titrearticle"/>
    <w:pPr>
      <w:keepNext/>
    </w:pPr>
  </w:style>
  <w:style w:type="paragraph" w:customStyle="1" w:styleId="Institutionquiagit">
    <w:name w:val="Institution qui agit"/>
    <w:basedOn w:val="Normaallaad"/>
    <w:next w:val="Normaallaad"/>
    <w:pPr>
      <w:keepNext/>
      <w:spacing w:before="600"/>
    </w:pPr>
  </w:style>
  <w:style w:type="paragraph" w:customStyle="1" w:styleId="Institutionquisigne">
    <w:name w:val="Institution qui signe"/>
    <w:basedOn w:val="Normaallaad"/>
    <w:next w:val="Personnequisigne"/>
    <w:pPr>
      <w:keepNext/>
      <w:tabs>
        <w:tab w:val="left" w:pos="4252"/>
      </w:tabs>
      <w:spacing w:before="720" w:after="0"/>
    </w:pPr>
    <w:rPr>
      <w:i/>
    </w:rPr>
  </w:style>
  <w:style w:type="paragraph" w:customStyle="1" w:styleId="ManualConsidrant">
    <w:name w:val="Manual Considérant"/>
    <w:basedOn w:val="Normaallaad"/>
    <w:pPr>
      <w:ind w:left="709" w:hanging="709"/>
    </w:pPr>
  </w:style>
  <w:style w:type="paragraph" w:customStyle="1" w:styleId="Personnequisigne">
    <w:name w:val="Personne qui signe"/>
    <w:basedOn w:val="Normaallaad"/>
    <w:next w:val="Institutionquisigne"/>
    <w:pPr>
      <w:tabs>
        <w:tab w:val="left" w:pos="4252"/>
      </w:tabs>
      <w:spacing w:before="0" w:after="0"/>
      <w:jc w:val="left"/>
    </w:pPr>
    <w:rPr>
      <w:i/>
    </w:rPr>
  </w:style>
  <w:style w:type="paragraph" w:customStyle="1" w:styleId="Rfrenceinterinstitutionnelle">
    <w:name w:val="Référence interinstitutionnelle"/>
    <w:basedOn w:val="Normaallaad"/>
    <w:next w:val="Statut"/>
    <w:pPr>
      <w:spacing w:before="0" w:after="0"/>
      <w:ind w:left="5103"/>
      <w:jc w:val="left"/>
    </w:pPr>
  </w:style>
  <w:style w:type="paragraph" w:customStyle="1" w:styleId="Rfrenceinterne">
    <w:name w:val="Référence interne"/>
    <w:basedOn w:val="Normaallaad"/>
    <w:next w:val="Rfrenceinterinstitutionnelle"/>
    <w:pPr>
      <w:spacing w:before="0" w:after="0"/>
      <w:ind w:left="5103"/>
      <w:jc w:val="left"/>
    </w:pPr>
  </w:style>
  <w:style w:type="paragraph" w:customStyle="1" w:styleId="Statut">
    <w:name w:val="Statut"/>
    <w:basedOn w:val="Normaallaad"/>
    <w:next w:val="Typedudocument"/>
    <w:pPr>
      <w:spacing w:before="360" w:after="0"/>
      <w:jc w:val="center"/>
    </w:pPr>
  </w:style>
  <w:style w:type="paragraph" w:customStyle="1" w:styleId="Titrearticle">
    <w:name w:val="Titre article"/>
    <w:basedOn w:val="Normaallaad"/>
    <w:next w:val="Normaallaad"/>
    <w:pPr>
      <w:keepNext/>
      <w:spacing w:before="360"/>
      <w:jc w:val="center"/>
    </w:pPr>
    <w:rPr>
      <w:i/>
    </w:rPr>
  </w:style>
  <w:style w:type="paragraph" w:customStyle="1" w:styleId="Titreobjet">
    <w:name w:val="Titre objet"/>
    <w:basedOn w:val="Normaallaad"/>
    <w:next w:val="IntrtEEE"/>
    <w:pPr>
      <w:spacing w:before="360" w:after="360"/>
      <w:jc w:val="center"/>
    </w:pPr>
    <w:rPr>
      <w:b/>
    </w:rPr>
  </w:style>
  <w:style w:type="paragraph" w:customStyle="1" w:styleId="Typedudocument">
    <w:name w:val="Type du document"/>
    <w:basedOn w:val="Normaallaad"/>
    <w:next w:val="Titreobjet"/>
    <w:pPr>
      <w:spacing w:before="360" w:after="0"/>
      <w:jc w:val="center"/>
    </w:pPr>
    <w:rPr>
      <w:b/>
    </w:rPr>
  </w:style>
  <w:style w:type="character" w:customStyle="1" w:styleId="Added">
    <w:name w:val="Added"/>
    <w:basedOn w:val="Liguvaikefont"/>
    <w:rPr>
      <w:b/>
      <w:u w:val="single"/>
      <w:shd w:val="clear" w:color="auto" w:fill="auto"/>
    </w:rPr>
  </w:style>
  <w:style w:type="character" w:customStyle="1" w:styleId="Deleted">
    <w:name w:val="Deleted"/>
    <w:basedOn w:val="Liguvaikefont"/>
    <w:rPr>
      <w:strike/>
      <w:dstrike w:val="0"/>
      <w:shd w:val="clear" w:color="auto" w:fill="auto"/>
    </w:rPr>
  </w:style>
  <w:style w:type="paragraph" w:customStyle="1" w:styleId="Address">
    <w:name w:val="Address"/>
    <w:basedOn w:val="Normaallaad"/>
    <w:next w:val="Normaallaad"/>
    <w:pPr>
      <w:keepLines/>
      <w:spacing w:line="360" w:lineRule="auto"/>
      <w:ind w:left="3402"/>
      <w:jc w:val="left"/>
    </w:pPr>
  </w:style>
  <w:style w:type="paragraph" w:customStyle="1" w:styleId="Objetexterne">
    <w:name w:val="Objet externe"/>
    <w:basedOn w:val="Normaallaad"/>
    <w:next w:val="Normaallaad"/>
    <w:rPr>
      <w:i/>
      <w:caps/>
    </w:rPr>
  </w:style>
  <w:style w:type="paragraph" w:customStyle="1" w:styleId="Supertitre">
    <w:name w:val="Supertitre"/>
    <w:basedOn w:val="Normaallaad"/>
    <w:next w:val="Normaallaad"/>
    <w:pPr>
      <w:spacing w:before="0" w:after="600"/>
      <w:jc w:val="center"/>
    </w:pPr>
    <w:rPr>
      <w:b/>
    </w:rPr>
  </w:style>
  <w:style w:type="paragraph" w:customStyle="1" w:styleId="Languesfaisantfoi">
    <w:name w:val="Langues faisant foi"/>
    <w:basedOn w:val="Normaallaad"/>
    <w:next w:val="Normaallaad"/>
    <w:pPr>
      <w:spacing w:before="360" w:after="0"/>
      <w:jc w:val="center"/>
    </w:pPr>
  </w:style>
  <w:style w:type="paragraph" w:customStyle="1" w:styleId="Rfrencecroise">
    <w:name w:val="Référence croisée"/>
    <w:basedOn w:val="Normaallaad"/>
    <w:pPr>
      <w:spacing w:before="0" w:after="0"/>
      <w:jc w:val="center"/>
    </w:pPr>
  </w:style>
  <w:style w:type="paragraph" w:customStyle="1" w:styleId="Fichefinanciretitre">
    <w:name w:val="Fiche financière titre"/>
    <w:basedOn w:val="Normaallaad"/>
    <w:next w:val="Normaallaad"/>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allaad"/>
    <w:next w:val="Confidentialit"/>
    <w:pPr>
      <w:spacing w:before="0" w:after="240"/>
      <w:ind w:left="5103"/>
      <w:jc w:val="left"/>
    </w:p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0" w:after="240"/>
      <w:jc w:val="center"/>
    </w:pPr>
    <w:rPr>
      <w:b/>
      <w:i/>
    </w:rPr>
  </w:style>
  <w:style w:type="paragraph" w:customStyle="1" w:styleId="Typeacteprincipal">
    <w:name w:val="Type acte principal"/>
    <w:basedOn w:val="Normaallaad"/>
    <w:next w:val="Objetacteprincipal"/>
    <w:pPr>
      <w:spacing w:before="0" w:after="240"/>
      <w:jc w:val="center"/>
    </w:pPr>
    <w:rPr>
      <w:b/>
    </w:rPr>
  </w:style>
  <w:style w:type="paragraph" w:customStyle="1" w:styleId="Objetacteprincipal">
    <w:name w:val="Objet acte principal"/>
    <w:basedOn w:val="Normaallaa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jc w:val="center"/>
    </w:pPr>
  </w:style>
  <w:style w:type="paragraph" w:styleId="Pis">
    <w:name w:val="header"/>
    <w:basedOn w:val="Normaallaad"/>
    <w:link w:val="PisMrk"/>
    <w:uiPriority w:val="99"/>
    <w:unhideWhenUsed/>
    <w:rsid w:val="00B14983"/>
    <w:pPr>
      <w:tabs>
        <w:tab w:val="center" w:pos="4535"/>
        <w:tab w:val="right" w:pos="9071"/>
      </w:tabs>
      <w:spacing w:before="0"/>
    </w:pPr>
  </w:style>
  <w:style w:type="paragraph" w:customStyle="1" w:styleId="HeaderLandscape">
    <w:name w:val="HeaderLandscape"/>
    <w:basedOn w:val="Normaallaad"/>
    <w:rsid w:val="00B14983"/>
    <w:pPr>
      <w:tabs>
        <w:tab w:val="center" w:pos="7285"/>
        <w:tab w:val="right" w:pos="14003"/>
      </w:tabs>
      <w:spacing w:before="0"/>
    </w:pPr>
  </w:style>
  <w:style w:type="paragraph" w:styleId="Jalus">
    <w:name w:val="footer"/>
    <w:basedOn w:val="Normaallaad"/>
    <w:link w:val="JalusMrk"/>
    <w:uiPriority w:val="99"/>
    <w:unhideWhenUsed/>
    <w:rsid w:val="00B14983"/>
    <w:pPr>
      <w:tabs>
        <w:tab w:val="center" w:pos="4535"/>
        <w:tab w:val="right" w:pos="9071"/>
        <w:tab w:val="right" w:pos="9921"/>
      </w:tabs>
      <w:spacing w:before="360" w:after="0"/>
      <w:ind w:left="-850" w:right="-850"/>
      <w:jc w:val="left"/>
    </w:pPr>
  </w:style>
  <w:style w:type="paragraph" w:customStyle="1" w:styleId="FooterLandscape">
    <w:name w:val="FooterLandscape"/>
    <w:basedOn w:val="Normaallaad"/>
    <w:rsid w:val="00B14983"/>
    <w:pPr>
      <w:tabs>
        <w:tab w:val="center" w:pos="7285"/>
        <w:tab w:val="center" w:pos="10913"/>
        <w:tab w:val="right" w:pos="15137"/>
      </w:tabs>
      <w:spacing w:before="360" w:after="0"/>
      <w:ind w:left="-567" w:right="-567"/>
      <w:jc w:val="left"/>
    </w:pPr>
  </w:style>
  <w:style w:type="paragraph" w:customStyle="1" w:styleId="TechnicalBlock">
    <w:name w:val="Technical Block"/>
    <w:basedOn w:val="Normaallaad"/>
    <w:link w:val="TechnicalBlockChar"/>
    <w:rsid w:val="00254C90"/>
    <w:pPr>
      <w:spacing w:before="0" w:after="240"/>
      <w:jc w:val="center"/>
    </w:pPr>
  </w:style>
  <w:style w:type="character" w:customStyle="1" w:styleId="TechnicalBlockChar">
    <w:name w:val="Technical Block Char"/>
    <w:basedOn w:val="Liguvaikefont"/>
    <w:link w:val="TechnicalBlock"/>
    <w:rsid w:val="00254C90"/>
    <w:rPr>
      <w:rFonts w:ascii="Times New Roman" w:hAnsi="Times New Roman" w:cs="Times New Roman"/>
      <w:sz w:val="24"/>
      <w:lang w:val="en-GB"/>
    </w:rPr>
  </w:style>
  <w:style w:type="paragraph" w:customStyle="1" w:styleId="EntText">
    <w:name w:val="EntText"/>
    <w:basedOn w:val="Normaallaad"/>
    <w:rsid w:val="00254C90"/>
    <w:pPr>
      <w:spacing w:line="360" w:lineRule="auto"/>
      <w:jc w:val="left"/>
    </w:pPr>
  </w:style>
  <w:style w:type="paragraph" w:customStyle="1" w:styleId="Lignefinal">
    <w:name w:val="Ligne final"/>
    <w:basedOn w:val="Normaallaad"/>
    <w:next w:val="Normaallaad"/>
    <w:rsid w:val="00254C90"/>
    <w:pPr>
      <w:pBdr>
        <w:bottom w:val="single" w:sz="4" w:space="0" w:color="000000"/>
      </w:pBdr>
      <w:spacing w:before="360" w:line="360" w:lineRule="auto"/>
      <w:ind w:left="3400" w:right="3400"/>
      <w:jc w:val="center"/>
    </w:pPr>
    <w:rPr>
      <w:b/>
    </w:rPr>
  </w:style>
  <w:style w:type="paragraph" w:customStyle="1" w:styleId="pj">
    <w:name w:val="p.j."/>
    <w:basedOn w:val="Normaallaad"/>
    <w:link w:val="pjChar"/>
    <w:rsid w:val="00254C90"/>
    <w:pPr>
      <w:spacing w:before="1200"/>
      <w:ind w:left="1440" w:hanging="1440"/>
      <w:jc w:val="left"/>
    </w:pPr>
  </w:style>
  <w:style w:type="character" w:customStyle="1" w:styleId="pjChar">
    <w:name w:val="p.j. Char"/>
    <w:basedOn w:val="TechnicalBlockChar"/>
    <w:link w:val="pj"/>
    <w:rsid w:val="00254C90"/>
    <w:rPr>
      <w:rFonts w:ascii="Times New Roman" w:hAnsi="Times New Roman" w:cs="Times New Roman"/>
      <w:sz w:val="24"/>
      <w:lang w:val="en-GB"/>
    </w:rPr>
  </w:style>
  <w:style w:type="paragraph" w:customStyle="1" w:styleId="nbbordered">
    <w:name w:val="nb bordered"/>
    <w:basedOn w:val="Normaallaad"/>
    <w:link w:val="nbborderedChar"/>
    <w:rsid w:val="00254C90"/>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sid w:val="00254C90"/>
    <w:rPr>
      <w:rFonts w:ascii="Times New Roman" w:hAnsi="Times New Roman" w:cs="Times New Roman"/>
      <w:b/>
      <w:sz w:val="24"/>
      <w:lang w:val="en-GB"/>
    </w:rPr>
  </w:style>
  <w:style w:type="paragraph" w:customStyle="1" w:styleId="HeaderCouncil">
    <w:name w:val="Header Council"/>
    <w:basedOn w:val="Normaallaad"/>
    <w:link w:val="HeaderCouncilChar"/>
    <w:rsid w:val="00254C90"/>
    <w:pPr>
      <w:spacing w:before="0" w:after="0"/>
    </w:pPr>
    <w:rPr>
      <w:noProof/>
      <w:sz w:val="2"/>
    </w:rPr>
  </w:style>
  <w:style w:type="character" w:customStyle="1" w:styleId="HeaderCouncilChar">
    <w:name w:val="Header Council Char"/>
    <w:basedOn w:val="Liguvaikefont"/>
    <w:link w:val="HeaderCouncil"/>
    <w:rsid w:val="00254C90"/>
    <w:rPr>
      <w:rFonts w:ascii="Times New Roman" w:hAnsi="Times New Roman" w:cs="Times New Roman"/>
      <w:noProof/>
      <w:sz w:val="2"/>
      <w:lang w:val="en-GB"/>
    </w:rPr>
  </w:style>
  <w:style w:type="paragraph" w:customStyle="1" w:styleId="HeaderCouncilLarge">
    <w:name w:val="Header Council Large"/>
    <w:basedOn w:val="Normaallaad"/>
    <w:link w:val="HeaderCouncilLargeChar"/>
    <w:rsid w:val="00254C90"/>
    <w:pPr>
      <w:spacing w:before="0" w:after="440"/>
    </w:pPr>
    <w:rPr>
      <w:noProof/>
      <w:sz w:val="2"/>
    </w:rPr>
  </w:style>
  <w:style w:type="character" w:customStyle="1" w:styleId="HeaderCouncilLargeChar">
    <w:name w:val="Header Council Large Char"/>
    <w:basedOn w:val="Liguvaikefont"/>
    <w:link w:val="HeaderCouncilLarge"/>
    <w:rsid w:val="00254C90"/>
    <w:rPr>
      <w:rFonts w:ascii="Times New Roman" w:hAnsi="Times New Roman" w:cs="Times New Roman"/>
      <w:noProof/>
      <w:sz w:val="2"/>
      <w:lang w:val="en-GB"/>
    </w:rPr>
  </w:style>
  <w:style w:type="paragraph" w:customStyle="1" w:styleId="FooterCouncil">
    <w:name w:val="Footer Council"/>
    <w:basedOn w:val="Normaallaad"/>
    <w:link w:val="FooterCouncilChar"/>
    <w:rsid w:val="00254C90"/>
    <w:pPr>
      <w:spacing w:before="0" w:after="0"/>
    </w:pPr>
    <w:rPr>
      <w:noProof/>
      <w:sz w:val="2"/>
    </w:rPr>
  </w:style>
  <w:style w:type="character" w:customStyle="1" w:styleId="FooterCouncilChar">
    <w:name w:val="Footer Council Char"/>
    <w:basedOn w:val="Liguvaikefont"/>
    <w:link w:val="FooterCouncil"/>
    <w:rsid w:val="00254C90"/>
    <w:rPr>
      <w:rFonts w:ascii="Times New Roman" w:hAnsi="Times New Roman" w:cs="Times New Roman"/>
      <w:noProof/>
      <w:sz w:val="2"/>
      <w:lang w:val="en-GB"/>
    </w:rPr>
  </w:style>
  <w:style w:type="paragraph" w:customStyle="1" w:styleId="FooterText">
    <w:name w:val="Footer Text"/>
    <w:basedOn w:val="Normaallaad"/>
    <w:rsid w:val="00254C90"/>
    <w:pPr>
      <w:spacing w:before="0" w:after="0"/>
      <w:jc w:val="left"/>
    </w:pPr>
    <w:rPr>
      <w:rFonts w:eastAsia="Times New Roman"/>
      <w:szCs w:val="24"/>
    </w:rPr>
  </w:style>
  <w:style w:type="character" w:styleId="Kohatitetekst">
    <w:name w:val="Placeholder Text"/>
    <w:basedOn w:val="Liguvaikefont"/>
    <w:uiPriority w:val="99"/>
    <w:semiHidden/>
    <w:rsid w:val="00254C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798747">
      <w:bodyDiv w:val="1"/>
      <w:marLeft w:val="0"/>
      <w:marRight w:val="0"/>
      <w:marTop w:val="0"/>
      <w:marBottom w:val="0"/>
      <w:divBdr>
        <w:top w:val="none" w:sz="0" w:space="0" w:color="auto"/>
        <w:left w:val="none" w:sz="0" w:space="0" w:color="auto"/>
        <w:bottom w:val="none" w:sz="0" w:space="0" w:color="auto"/>
        <w:right w:val="none" w:sz="0" w:space="0" w:color="auto"/>
      </w:divBdr>
    </w:div>
    <w:div w:id="175704116">
      <w:bodyDiv w:val="1"/>
      <w:marLeft w:val="0"/>
      <w:marRight w:val="0"/>
      <w:marTop w:val="0"/>
      <w:marBottom w:val="0"/>
      <w:divBdr>
        <w:top w:val="none" w:sz="0" w:space="0" w:color="auto"/>
        <w:left w:val="none" w:sz="0" w:space="0" w:color="auto"/>
        <w:bottom w:val="none" w:sz="0" w:space="0" w:color="auto"/>
        <w:right w:val="none" w:sz="0" w:space="0" w:color="auto"/>
      </w:divBdr>
    </w:div>
    <w:div w:id="250507086">
      <w:bodyDiv w:val="1"/>
      <w:marLeft w:val="0"/>
      <w:marRight w:val="0"/>
      <w:marTop w:val="0"/>
      <w:marBottom w:val="0"/>
      <w:divBdr>
        <w:top w:val="none" w:sz="0" w:space="0" w:color="auto"/>
        <w:left w:val="none" w:sz="0" w:space="0" w:color="auto"/>
        <w:bottom w:val="none" w:sz="0" w:space="0" w:color="auto"/>
        <w:right w:val="none" w:sz="0" w:space="0" w:color="auto"/>
      </w:divBdr>
    </w:div>
    <w:div w:id="378436814">
      <w:bodyDiv w:val="1"/>
      <w:marLeft w:val="0"/>
      <w:marRight w:val="0"/>
      <w:marTop w:val="0"/>
      <w:marBottom w:val="0"/>
      <w:divBdr>
        <w:top w:val="none" w:sz="0" w:space="0" w:color="auto"/>
        <w:left w:val="none" w:sz="0" w:space="0" w:color="auto"/>
        <w:bottom w:val="none" w:sz="0" w:space="0" w:color="auto"/>
        <w:right w:val="none" w:sz="0" w:space="0" w:color="auto"/>
      </w:divBdr>
    </w:div>
    <w:div w:id="603659265">
      <w:bodyDiv w:val="1"/>
      <w:marLeft w:val="0"/>
      <w:marRight w:val="0"/>
      <w:marTop w:val="0"/>
      <w:marBottom w:val="0"/>
      <w:divBdr>
        <w:top w:val="none" w:sz="0" w:space="0" w:color="auto"/>
        <w:left w:val="none" w:sz="0" w:space="0" w:color="auto"/>
        <w:bottom w:val="none" w:sz="0" w:space="0" w:color="auto"/>
        <w:right w:val="none" w:sz="0" w:space="0" w:color="auto"/>
      </w:divBdr>
    </w:div>
    <w:div w:id="757361833">
      <w:bodyDiv w:val="1"/>
      <w:marLeft w:val="0"/>
      <w:marRight w:val="0"/>
      <w:marTop w:val="0"/>
      <w:marBottom w:val="0"/>
      <w:divBdr>
        <w:top w:val="none" w:sz="0" w:space="0" w:color="auto"/>
        <w:left w:val="none" w:sz="0" w:space="0" w:color="auto"/>
        <w:bottom w:val="none" w:sz="0" w:space="0" w:color="auto"/>
        <w:right w:val="none" w:sz="0" w:space="0" w:color="auto"/>
      </w:divBdr>
    </w:div>
    <w:div w:id="850291008">
      <w:bodyDiv w:val="1"/>
      <w:marLeft w:val="0"/>
      <w:marRight w:val="0"/>
      <w:marTop w:val="0"/>
      <w:marBottom w:val="0"/>
      <w:divBdr>
        <w:top w:val="none" w:sz="0" w:space="0" w:color="auto"/>
        <w:left w:val="none" w:sz="0" w:space="0" w:color="auto"/>
        <w:bottom w:val="none" w:sz="0" w:space="0" w:color="auto"/>
        <w:right w:val="none" w:sz="0" w:space="0" w:color="auto"/>
      </w:divBdr>
    </w:div>
    <w:div w:id="977883460">
      <w:bodyDiv w:val="1"/>
      <w:marLeft w:val="0"/>
      <w:marRight w:val="0"/>
      <w:marTop w:val="0"/>
      <w:marBottom w:val="0"/>
      <w:divBdr>
        <w:top w:val="none" w:sz="0" w:space="0" w:color="auto"/>
        <w:left w:val="none" w:sz="0" w:space="0" w:color="auto"/>
        <w:bottom w:val="none" w:sz="0" w:space="0" w:color="auto"/>
        <w:right w:val="none" w:sz="0" w:space="0" w:color="auto"/>
      </w:divBdr>
    </w:div>
    <w:div w:id="1002053292">
      <w:bodyDiv w:val="1"/>
      <w:marLeft w:val="0"/>
      <w:marRight w:val="0"/>
      <w:marTop w:val="0"/>
      <w:marBottom w:val="0"/>
      <w:divBdr>
        <w:top w:val="none" w:sz="0" w:space="0" w:color="auto"/>
        <w:left w:val="none" w:sz="0" w:space="0" w:color="auto"/>
        <w:bottom w:val="none" w:sz="0" w:space="0" w:color="auto"/>
        <w:right w:val="none" w:sz="0" w:space="0" w:color="auto"/>
      </w:divBdr>
    </w:div>
    <w:div w:id="1018777723">
      <w:bodyDiv w:val="1"/>
      <w:marLeft w:val="0"/>
      <w:marRight w:val="0"/>
      <w:marTop w:val="0"/>
      <w:marBottom w:val="0"/>
      <w:divBdr>
        <w:top w:val="none" w:sz="0" w:space="0" w:color="auto"/>
        <w:left w:val="none" w:sz="0" w:space="0" w:color="auto"/>
        <w:bottom w:val="none" w:sz="0" w:space="0" w:color="auto"/>
        <w:right w:val="none" w:sz="0" w:space="0" w:color="auto"/>
      </w:divBdr>
    </w:div>
    <w:div w:id="1526745835">
      <w:bodyDiv w:val="1"/>
      <w:marLeft w:val="0"/>
      <w:marRight w:val="0"/>
      <w:marTop w:val="0"/>
      <w:marBottom w:val="0"/>
      <w:divBdr>
        <w:top w:val="none" w:sz="0" w:space="0" w:color="auto"/>
        <w:left w:val="none" w:sz="0" w:space="0" w:color="auto"/>
        <w:bottom w:val="none" w:sz="0" w:space="0" w:color="auto"/>
        <w:right w:val="none" w:sz="0" w:space="0" w:color="auto"/>
      </w:divBdr>
    </w:div>
    <w:div w:id="1538858588">
      <w:bodyDiv w:val="1"/>
      <w:marLeft w:val="0"/>
      <w:marRight w:val="0"/>
      <w:marTop w:val="0"/>
      <w:marBottom w:val="0"/>
      <w:divBdr>
        <w:top w:val="none" w:sz="0" w:space="0" w:color="auto"/>
        <w:left w:val="none" w:sz="0" w:space="0" w:color="auto"/>
        <w:bottom w:val="none" w:sz="0" w:space="0" w:color="auto"/>
        <w:right w:val="none" w:sz="0" w:space="0" w:color="auto"/>
      </w:divBdr>
    </w:div>
    <w:div w:id="1581940084">
      <w:bodyDiv w:val="1"/>
      <w:marLeft w:val="0"/>
      <w:marRight w:val="0"/>
      <w:marTop w:val="0"/>
      <w:marBottom w:val="0"/>
      <w:divBdr>
        <w:top w:val="none" w:sz="0" w:space="0" w:color="auto"/>
        <w:left w:val="none" w:sz="0" w:space="0" w:color="auto"/>
        <w:bottom w:val="none" w:sz="0" w:space="0" w:color="auto"/>
        <w:right w:val="none" w:sz="0" w:space="0" w:color="auto"/>
      </w:divBdr>
    </w:div>
    <w:div w:id="1625037639">
      <w:bodyDiv w:val="1"/>
      <w:marLeft w:val="0"/>
      <w:marRight w:val="0"/>
      <w:marTop w:val="0"/>
      <w:marBottom w:val="0"/>
      <w:divBdr>
        <w:top w:val="none" w:sz="0" w:space="0" w:color="auto"/>
        <w:left w:val="none" w:sz="0" w:space="0" w:color="auto"/>
        <w:bottom w:val="none" w:sz="0" w:space="0" w:color="auto"/>
        <w:right w:val="none" w:sz="0" w:space="0" w:color="auto"/>
      </w:divBdr>
    </w:div>
    <w:div w:id="171673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s://data.europa.eu/doi/10.2777/06090" TargetMode="External"/><Relationship Id="rId13" Type="http://schemas.openxmlformats.org/officeDocument/2006/relationships/hyperlink" Target="https://eua.eu/resources/projects/786-lotus.html" TargetMode="External"/><Relationship Id="rId18" Type="http://schemas.openxmlformats.org/officeDocument/2006/relationships/hyperlink" Target="https://europa.eu/europass/en" TargetMode="External"/><Relationship Id="rId3" Type="http://schemas.openxmlformats.org/officeDocument/2006/relationships/hyperlink" Target="https://doi.org/10.1787/ea9d3108-en" TargetMode="External"/><Relationship Id="rId7" Type="http://schemas.openxmlformats.org/officeDocument/2006/relationships/hyperlink" Target="https://ec.europa.eu/social/main.jsp?catId=1540&amp;langId=en" TargetMode="External"/><Relationship Id="rId12" Type="http://schemas.openxmlformats.org/officeDocument/2006/relationships/hyperlink" Target="https://nesetweb.eu/en/resources/library/student-and-staff-mental-wellbeing-in-european-higher-education-institutions/" TargetMode="External"/><Relationship Id="rId17" Type="http://schemas.openxmlformats.org/officeDocument/2006/relationships/hyperlink" Target="https://research-and-innovation.ec.europa.eu/jobs-research/researchcomp-european-competence-framework-researchers_en" TargetMode="External"/><Relationship Id="rId2" Type="http://schemas.openxmlformats.org/officeDocument/2006/relationships/hyperlink" Target="https://doi.org/10.1787/ea9d3108-en" TargetMode="External"/><Relationship Id="rId16" Type="http://schemas.openxmlformats.org/officeDocument/2006/relationships/hyperlink" Target="https://data.europa.eu/doi/10.2777/06090" TargetMode="External"/><Relationship Id="rId20" Type="http://schemas.openxmlformats.org/officeDocument/2006/relationships/hyperlink" Target="https://commission.europa.eu/strategy-and-policy/policies/justice-and-fundamental-rights/combatting-discrimination/tackling-discrimination/diversity-and-inclusion-initiatives/eu-platform-diversity-charters-turns-10_en" TargetMode="External"/><Relationship Id="rId1" Type="http://schemas.openxmlformats.org/officeDocument/2006/relationships/hyperlink" Target="https://www.ecorys.com/" TargetMode="External"/><Relationship Id="rId6" Type="http://schemas.openxmlformats.org/officeDocument/2006/relationships/hyperlink" Target="https://nesetweb.eu/en/resources/library/community-engagement-in-higher-education-trends-practices-and-policies/" TargetMode="External"/><Relationship Id="rId11" Type="http://schemas.openxmlformats.org/officeDocument/2006/relationships/hyperlink" Target="https://doi.org/10.1787/ea9d3108-en" TargetMode="External"/><Relationship Id="rId5" Type="http://schemas.openxmlformats.org/officeDocument/2006/relationships/hyperlink" Target="https://doi.org/10.1787/ea9d3108-en" TargetMode="External"/><Relationship Id="rId15" Type="http://schemas.openxmlformats.org/officeDocument/2006/relationships/hyperlink" Target="https://europa.eu/europass/en/europass-digital-tools/european-qualifications-framework" TargetMode="External"/><Relationship Id="rId10" Type="http://schemas.openxmlformats.org/officeDocument/2006/relationships/hyperlink" Target="https://ec.europa.eu/info/law/better-regulation/have-your-say/initiatives/14076-Attractive-and-sustainable-careers-in-higher-education_en" TargetMode="External"/><Relationship Id="rId19" Type="http://schemas.openxmlformats.org/officeDocument/2006/relationships/hyperlink" Target="https://eures.europa.eu/index_en" TargetMode="External"/><Relationship Id="rId4" Type="http://schemas.openxmlformats.org/officeDocument/2006/relationships/hyperlink" Target="https://doi.org/10.1787/ea9d3108-en" TargetMode="External"/><Relationship Id="rId9" Type="http://schemas.openxmlformats.org/officeDocument/2006/relationships/hyperlink" Target="https://data.consilium.europa.eu/doc/document/ST-14308-2021-INIT/en/pdf" TargetMode="External"/><Relationship Id="rId14" Type="http://schemas.openxmlformats.org/officeDocument/2006/relationships/hyperlink" Target="https://www.teachingexcellence.e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ocuWrite\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Mendeley_498mE3qYxDGVsZK1erJpaQ</b:Tag>
    <b:SourceType>Book</b:SourceType>
    <b:Guid>{1326DFE3-987A-31C4-95B1-92B57AB26969}</b:Guid>
    <b:Title>Recommendation concerning the Status of Higher-Education Teaching Personnel | UNESCO</b:Title>
    <b:Year>1997</b:Year>
    <b:Publisher>UNESCO, Paris</b:Publisher>
    <b:Author>
      <b:Author>
        <b:NameList>
          <b:Person>
            <b:Last>UNESCO</b:Last>
          </b:Person>
        </b:NameList>
      </b:Author>
    </b:Author>
    <b:YearAccessed>2023</b:YearAccessed>
    <b:MonthAccessed>06</b:MonthAccessed>
    <b:DayAccessed>13</b:DayAccessed>
    <b:URL>https://en.unesco.org/about-us/legal-affairs/recommendation-concerning-status-higher-education-teaching-personnel</b:URL>
    <b:LCID>en-US</b:LCID>
    <b:Version>Mendeley</b:Version>
    <b:RefOrder>415</b:RefOrder>
  </b:Source>
  <b:Source>
    <b:Tag>Mendeley_Kc6rOoxhdzOE__nZPXFxrXQ</b:Tag>
    <b:SourceType>JournalArticle</b:SourceType>
    <b:Title>The Effect of Long Working Hours and Overtime on Occupational Health: A Meta-Analysis of Evidence from 1998 to 2018</b:Title>
    <b:Year>2019</b:Year>
    <b:Publisher>MDPI AG</b:Publisher>
    <b:Author>
      <b:Author>
        <b:NameList>
          <b:Person>
            <b:Last>Wong</b:Last>
            <b:First>Kapo</b:First>
          </b:Person>
          <b:Person>
            <b:Last>Chan</b:Last>
            <b:First>Alan H. S.</b:First>
          </b:Person>
          <b:Person>
            <b:Last>Ngan</b:Last>
            <b:First>S. C.</b:First>
          </b:Person>
        </b:NameList>
      </b:Author>
    </b:Author>
    <b:Volume>16</b:Volume>
    <b:Pages>2102</b:Pages>
    <b:JournalName>International Journal of Environmental Research and Public Health</b:JournalName>
    <b:DOI>10.3390/ijerph16122102</b:DOI>
    <b:Issue>12</b:Issue>
    <b:LCID>en-US</b:LCID>
    <b:Version>CrossRef</b:Version>
    <b:RefOrder>114</b:RefOrder>
  </b:Source>
  <b:Source>
    <b:Tag>Mendeley_PaPhYFe11TqVe_cBxjY2fg</b:Tag>
    <b:SourceType>BookSection</b:SourceType>
    <b:Guid>{60E1A33D-B557-3AD5-957B-F701C636367E}</b:Guid>
    <b:Title>Employment terms and conditions in tertiary education</b:Title>
    <b:Year>2018</b:Year>
    <b:Publisher>International Labour Office - Sectoral Policies Department, Geneva</b:Publisher>
    <b:Author>
      <b:Author>
        <b:NameList>
          <b:Person>
            <b:Last>ILO</b:Last>
          </b:Person>
        </b:NameList>
      </b:Author>
    </b:Author>
    <b:BookTitle>Issues paper for discussion at the Global Dialogue Forum on Employment Terms and Conditions in Tertiary Education</b:BookTitle>
    <b:Medium>Working Paper</b:Medium>
    <b:YearAccessed>2023</b:YearAccessed>
    <b:MonthAccessed>02</b:MonthAccessed>
    <b:DayAccessed>24</b:DayAccessed>
    <b:LCID>en-US</b:LCID>
    <b:Version>Mendeley</b:Version>
    <b:RefOrder>18</b:RefOrder>
  </b:Source>
  <b:Source>
    <b:Tag>Mendeley__PjVzQVZQjmI7Bq3ZWzalw</b:Tag>
    <b:SourceType>Book</b:SourceType>
    <b:Guid>{CDD5F8FC-5905-3942-88EC-1AB7656CDA97}</b:Guid>
    <b:Title>2019/45 Usage of fixed-term employment contracts for professors restricted</b:Title>
    <b:Year>2019</b:Year>
    <b:Publisher>European Employment Lawyers Association</b:Publisher>
    <b:Author>
      <b:Author>
        <b:NameList>
          <b:Person>
            <b:Last>EELA</b:Last>
          </b:Person>
        </b:NameList>
      </b:Author>
    </b:Author>
    <b:YearAccessed>2023</b:YearAccessed>
    <b:MonthAccessed>02</b:MonthAccessed>
    <b:DayAccessed>27</b:DayAccessed>
    <b:URL>https://eela.eelc-updates.com/case_reports/eelc-2019-317526</b:URL>
    <b:LCID>en-US</b:LCID>
    <b:Version>Mendeley</b:Version>
    <b:RefOrder>37</b:RefOrder>
  </b:Source>
</b:Sources>
</file>

<file path=customXml/itemProps1.xml><?xml version="1.0" encoding="utf-8"?>
<ds:datastoreItem xmlns:ds="http://schemas.openxmlformats.org/officeDocument/2006/customXml" ds:itemID="{381E9795-F58D-41FF-B9A9-9C9FCB10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18</Pages>
  <Words>6506</Words>
  <Characters>37735</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2024-04-08T06:08:00Z</dcterms:created>
  <dcterms:modified xsi:type="dcterms:W3CDTF">2024-04-08T06:08:00Z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DocuWrite 4.8.5, Build 20230921</vt:lpwstr>
  </property>
  <property fmtid="{D5CDD505-2E9C-101B-9397-08002B2CF9AE}" pid="3" name="MSIP_Label_6bd9ddd1-4d20-43f6-abfa-fc3c07406f94_Enabled">
    <vt:lpwstr>true</vt:lpwstr>
  </property>
  <property fmtid="{D5CDD505-2E9C-101B-9397-08002B2CF9AE}" pid="4" name="MSIP_Label_6bd9ddd1-4d20-43f6-abfa-fc3c07406f94_SetDate">
    <vt:lpwstr>2024-03-10T14:53:12Z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6d8fca38-21d0-46ee-9ff3-0ebe0967222d</vt:lpwstr>
  </property>
  <property fmtid="{D5CDD505-2E9C-101B-9397-08002B2CF9AE}" pid="9" name="MSIP_Label_6bd9ddd1-4d20-43f6-abfa-fc3c07406f94_ContentBits">
    <vt:lpwstr>0</vt:lpwstr>
  </property>
  <property fmtid="{D5CDD505-2E9C-101B-9397-08002B2CF9AE}" pid="10" name="Category">
    <vt:lpwstr>COM/PL/ORG</vt:lpwstr>
  </property>
  <property fmtid="{D5CDD505-2E9C-101B-9397-08002B2CF9AE}" pid="11" name="DQCStatus">
    <vt:lpwstr>Yellow (DQC version 03)</vt:lpwstr>
  </property>
  <property fmtid="{D5CDD505-2E9C-101B-9397-08002B2CF9AE}" pid="12" name="Level of sensitivity">
    <vt:lpwstr>Standard treatment</vt:lpwstr>
  </property>
  <property fmtid="{D5CDD505-2E9C-101B-9397-08002B2CF9AE}" pid="13" name="Part">
    <vt:lpwstr>1</vt:lpwstr>
  </property>
  <property fmtid="{D5CDD505-2E9C-101B-9397-08002B2CF9AE}" pid="14" name="Total parts">
    <vt:lpwstr>1</vt:lpwstr>
  </property>
  <property fmtid="{D5CDD505-2E9C-101B-9397-08002B2CF9AE}" pid="15" name="LWTemplateID">
    <vt:lpwstr>SJ-022</vt:lpwstr>
  </property>
  <property fmtid="{D5CDD505-2E9C-101B-9397-08002B2CF9AE}" pid="16" name="Created using">
    <vt:lpwstr>DocuWrite 4.8.5, Build 20230921</vt:lpwstr>
  </property>
  <property fmtid="{D5CDD505-2E9C-101B-9397-08002B2CF9AE}" pid="17" name="MSIP_Label_b1df41d6-74a9-4a97-809c-213cd32520cc_Enabled">
    <vt:lpwstr>true</vt:lpwstr>
  </property>
  <property fmtid="{D5CDD505-2E9C-101B-9397-08002B2CF9AE}" pid="18" name="MSIP_Label_b1df41d6-74a9-4a97-809c-213cd32520cc_SetDate">
    <vt:lpwstr>2024-04-02T09:00:34Z</vt:lpwstr>
  </property>
  <property fmtid="{D5CDD505-2E9C-101B-9397-08002B2CF9AE}" pid="19" name="MSIP_Label_b1df41d6-74a9-4a97-809c-213cd32520cc_Method">
    <vt:lpwstr>Privileged</vt:lpwstr>
  </property>
  <property fmtid="{D5CDD505-2E9C-101B-9397-08002B2CF9AE}" pid="20" name="MSIP_Label_b1df41d6-74a9-4a97-809c-213cd32520cc_Name">
    <vt:lpwstr>GSCEU - NON PUBLIC Label</vt:lpwstr>
  </property>
  <property fmtid="{D5CDD505-2E9C-101B-9397-08002B2CF9AE}" pid="21" name="MSIP_Label_b1df41d6-74a9-4a97-809c-213cd32520cc_SiteId">
    <vt:lpwstr>03ad1c97-0a4d-4e82-8f93-27291a6a0767</vt:lpwstr>
  </property>
  <property fmtid="{D5CDD505-2E9C-101B-9397-08002B2CF9AE}" pid="22" name="MSIP_Label_b1df41d6-74a9-4a97-809c-213cd32520cc_ActionId">
    <vt:lpwstr>cc631b13-7e5a-41eb-823f-a9bb982b2ecf</vt:lpwstr>
  </property>
  <property fmtid="{D5CDD505-2E9C-101B-9397-08002B2CF9AE}" pid="23" name="MSIP_Label_b1df41d6-74a9-4a97-809c-213cd32520cc_ContentBits">
    <vt:lpwstr>0</vt:lpwstr>
  </property>
</Properties>
</file>